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72" w:rsidRDefault="00907472"/>
    <w:p w:rsidR="00BA3BD1" w:rsidRDefault="00BA3BD1" w:rsidP="00BA3BD1">
      <w:pPr>
        <w:pStyle w:val="Default"/>
        <w:jc w:val="center"/>
        <w:rPr>
          <w:sz w:val="32"/>
          <w:szCs w:val="32"/>
        </w:rPr>
      </w:pPr>
      <w:r>
        <w:rPr>
          <w:b/>
          <w:bCs/>
          <w:sz w:val="32"/>
          <w:szCs w:val="32"/>
        </w:rPr>
        <w:t>North Central Accountable Community of Health</w:t>
      </w:r>
    </w:p>
    <w:p w:rsidR="00BA3BD1" w:rsidRDefault="00BA3BD1" w:rsidP="00BA3BD1">
      <w:pPr>
        <w:pStyle w:val="Default"/>
        <w:jc w:val="center"/>
        <w:rPr>
          <w:sz w:val="28"/>
          <w:szCs w:val="28"/>
        </w:rPr>
      </w:pPr>
      <w:r>
        <w:rPr>
          <w:b/>
          <w:bCs/>
          <w:sz w:val="28"/>
          <w:szCs w:val="28"/>
        </w:rPr>
        <w:t>Governing Board</w:t>
      </w:r>
    </w:p>
    <w:p w:rsidR="00BA3BD1" w:rsidRDefault="00A541C8" w:rsidP="00BA3BD1">
      <w:pPr>
        <w:pStyle w:val="Default"/>
        <w:jc w:val="center"/>
        <w:rPr>
          <w:sz w:val="23"/>
          <w:szCs w:val="23"/>
        </w:rPr>
      </w:pPr>
      <w:r>
        <w:rPr>
          <w:sz w:val="23"/>
          <w:szCs w:val="23"/>
        </w:rPr>
        <w:t>2:00-4:00 p.m., August 21</w:t>
      </w:r>
      <w:r w:rsidR="00BA3BD1">
        <w:rPr>
          <w:sz w:val="23"/>
          <w:szCs w:val="23"/>
        </w:rPr>
        <w:t>, 2015</w:t>
      </w:r>
    </w:p>
    <w:p w:rsidR="00A541C8" w:rsidRDefault="00A541C8" w:rsidP="00A541C8">
      <w:pPr>
        <w:pStyle w:val="Default"/>
        <w:jc w:val="center"/>
        <w:rPr>
          <w:sz w:val="23"/>
          <w:szCs w:val="23"/>
        </w:rPr>
      </w:pPr>
      <w:r>
        <w:rPr>
          <w:sz w:val="23"/>
          <w:szCs w:val="23"/>
        </w:rPr>
        <w:t>Confluence Technology Center</w:t>
      </w:r>
    </w:p>
    <w:p w:rsidR="00A541C8" w:rsidRDefault="00A541C8" w:rsidP="00A541C8">
      <w:pPr>
        <w:pStyle w:val="Default"/>
        <w:jc w:val="center"/>
        <w:rPr>
          <w:sz w:val="23"/>
          <w:szCs w:val="23"/>
        </w:rPr>
      </w:pPr>
      <w:r>
        <w:rPr>
          <w:sz w:val="23"/>
          <w:szCs w:val="23"/>
        </w:rPr>
        <w:t>285 Technology Center Way, Wenatchee</w:t>
      </w:r>
    </w:p>
    <w:p w:rsidR="000035CB" w:rsidRDefault="00BA3BD1" w:rsidP="00BA3BD1">
      <w:pPr>
        <w:pStyle w:val="Default"/>
        <w:rPr>
          <w:sz w:val="28"/>
          <w:szCs w:val="28"/>
        </w:rPr>
      </w:pPr>
      <w:r>
        <w:rPr>
          <w:b/>
          <w:bCs/>
          <w:sz w:val="28"/>
          <w:szCs w:val="28"/>
        </w:rPr>
        <w:t>Meeting Notes</w:t>
      </w:r>
      <w:r>
        <w:rPr>
          <w:sz w:val="28"/>
          <w:szCs w:val="28"/>
        </w:rPr>
        <w:t xml:space="preserve"> </w:t>
      </w:r>
    </w:p>
    <w:tbl>
      <w:tblPr>
        <w:tblStyle w:val="TableGrid"/>
        <w:tblW w:w="0" w:type="auto"/>
        <w:tblLook w:val="04A0" w:firstRow="1" w:lastRow="0" w:firstColumn="1" w:lastColumn="0" w:noHBand="0" w:noVBand="1"/>
      </w:tblPr>
      <w:tblGrid>
        <w:gridCol w:w="3116"/>
        <w:gridCol w:w="5249"/>
        <w:gridCol w:w="986"/>
      </w:tblGrid>
      <w:tr w:rsidR="00BA3BD1" w:rsidTr="00BA3BD1">
        <w:tc>
          <w:tcPr>
            <w:tcW w:w="3116" w:type="dxa"/>
          </w:tcPr>
          <w:p w:rsidR="00BA3BD1" w:rsidRPr="00BA3BD1" w:rsidRDefault="00BA3BD1" w:rsidP="00BA3BD1">
            <w:pPr>
              <w:rPr>
                <w:b/>
                <w:sz w:val="28"/>
                <w:szCs w:val="28"/>
                <w:u w:val="single"/>
              </w:rPr>
            </w:pPr>
            <w:r w:rsidRPr="00BA3BD1">
              <w:rPr>
                <w:b/>
                <w:sz w:val="28"/>
                <w:szCs w:val="28"/>
                <w:u w:val="single"/>
              </w:rPr>
              <w:t>Agenda Items</w:t>
            </w:r>
          </w:p>
        </w:tc>
        <w:tc>
          <w:tcPr>
            <w:tcW w:w="5249" w:type="dxa"/>
          </w:tcPr>
          <w:p w:rsidR="00BA3BD1" w:rsidRPr="00BA3BD1" w:rsidRDefault="00BA3BD1" w:rsidP="00BA3BD1">
            <w:pPr>
              <w:rPr>
                <w:b/>
                <w:u w:val="single"/>
              </w:rPr>
            </w:pPr>
            <w:r>
              <w:rPr>
                <w:b/>
                <w:sz w:val="28"/>
                <w:szCs w:val="28"/>
                <w:u w:val="single"/>
              </w:rPr>
              <w:t>Notes</w:t>
            </w:r>
          </w:p>
        </w:tc>
        <w:tc>
          <w:tcPr>
            <w:tcW w:w="985" w:type="dxa"/>
          </w:tcPr>
          <w:p w:rsidR="00BA3BD1" w:rsidRPr="00BA3BD1" w:rsidRDefault="00BA3BD1" w:rsidP="00BA3BD1">
            <w:pPr>
              <w:rPr>
                <w:b/>
                <w:u w:val="single"/>
              </w:rPr>
            </w:pPr>
            <w:r>
              <w:rPr>
                <w:b/>
                <w:sz w:val="28"/>
                <w:szCs w:val="28"/>
                <w:u w:val="single"/>
              </w:rPr>
              <w:t>Task</w:t>
            </w:r>
          </w:p>
        </w:tc>
      </w:tr>
      <w:tr w:rsidR="00BA3BD1" w:rsidTr="00BA3BD1">
        <w:tc>
          <w:tcPr>
            <w:tcW w:w="3116" w:type="dxa"/>
          </w:tcPr>
          <w:p w:rsidR="00BA3BD1" w:rsidRPr="00BA3BD1" w:rsidRDefault="00BA3BD1" w:rsidP="00BA3BD1">
            <w:r w:rsidRPr="00BA3BD1">
              <w:t>Introductions</w:t>
            </w:r>
          </w:p>
        </w:tc>
        <w:tc>
          <w:tcPr>
            <w:tcW w:w="5249" w:type="dxa"/>
          </w:tcPr>
          <w:p w:rsidR="00BA05CC" w:rsidRDefault="00D87CA5" w:rsidP="00BA05CC">
            <w:r w:rsidRPr="00D87CA5">
              <w:rPr>
                <w:u w:val="single"/>
              </w:rPr>
              <w:t>Board Members onsite:</w:t>
            </w:r>
            <w:r>
              <w:t xml:space="preserve">  Jeff Davis, Tom Thompson, Patrick Bucknum, Senator Parlette, Winnie Adams, Bruce Buckles, Laurel Lee.</w:t>
            </w:r>
          </w:p>
          <w:p w:rsidR="00D87CA5" w:rsidRDefault="00D87CA5" w:rsidP="00BA05CC">
            <w:r w:rsidRPr="00D87CA5">
              <w:rPr>
                <w:u w:val="single"/>
              </w:rPr>
              <w:t xml:space="preserve">Board Members via phone:  </w:t>
            </w:r>
            <w:r>
              <w:t>Gail Goodwin, Doug Wilson.</w:t>
            </w:r>
          </w:p>
          <w:p w:rsidR="00D87CA5" w:rsidRDefault="00D87CA5" w:rsidP="00BA05CC">
            <w:r w:rsidRPr="00D87CA5">
              <w:rPr>
                <w:u w:val="single"/>
              </w:rPr>
              <w:t>Public Attendees onsite:</w:t>
            </w:r>
            <w:r>
              <w:t xml:space="preserve">  Alex Howard, Nancy Warner, Jesus Hernandez, Renee Hunter, Lena Nachand.</w:t>
            </w:r>
          </w:p>
          <w:p w:rsidR="00D87CA5" w:rsidRPr="00BA3BD1" w:rsidRDefault="00D87CA5" w:rsidP="00BA05CC">
            <w:r w:rsidRPr="009146D2">
              <w:rPr>
                <w:u w:val="single"/>
              </w:rPr>
              <w:t>Public Attendees via phone:</w:t>
            </w:r>
            <w:r>
              <w:t xml:space="preserve">  Gregg Fletcher, Scott Graham, Skip Rosenthal.</w:t>
            </w:r>
          </w:p>
        </w:tc>
        <w:tc>
          <w:tcPr>
            <w:tcW w:w="985" w:type="dxa"/>
          </w:tcPr>
          <w:p w:rsidR="00BA3BD1" w:rsidRPr="00BA3BD1" w:rsidRDefault="00BA3BD1" w:rsidP="00BA3BD1"/>
        </w:tc>
      </w:tr>
      <w:tr w:rsidR="009146D2" w:rsidTr="00BA3BD1">
        <w:tc>
          <w:tcPr>
            <w:tcW w:w="3116" w:type="dxa"/>
          </w:tcPr>
          <w:p w:rsidR="009146D2" w:rsidRPr="00BA3BD1" w:rsidRDefault="009146D2" w:rsidP="00BA3BD1">
            <w:r>
              <w:t>ACH Overview</w:t>
            </w:r>
          </w:p>
        </w:tc>
        <w:tc>
          <w:tcPr>
            <w:tcW w:w="5249" w:type="dxa"/>
          </w:tcPr>
          <w:p w:rsidR="009146D2" w:rsidRPr="009146D2" w:rsidRDefault="009146D2" w:rsidP="00BA05CC">
            <w:r>
              <w:t>Lena Nachand form HCA provided an update/overview on ACH work statewide.  Senator Parlette offered disclosure of concerns and read a letter from the legislative fiscal staff sent in response to questions pertaining to the Medicaid Waiver.</w:t>
            </w:r>
          </w:p>
        </w:tc>
        <w:tc>
          <w:tcPr>
            <w:tcW w:w="985" w:type="dxa"/>
          </w:tcPr>
          <w:p w:rsidR="009146D2" w:rsidRPr="00BA3BD1" w:rsidRDefault="009146D2" w:rsidP="00BA3BD1">
            <w:r>
              <w:t>Deb-Post copy of letter on docvault site</w:t>
            </w:r>
          </w:p>
        </w:tc>
      </w:tr>
      <w:tr w:rsidR="00BA3BD1" w:rsidTr="00BA3BD1">
        <w:tc>
          <w:tcPr>
            <w:tcW w:w="3116" w:type="dxa"/>
          </w:tcPr>
          <w:p w:rsidR="00BA3BD1" w:rsidRPr="00A541C8" w:rsidRDefault="00A541C8" w:rsidP="00BA3BD1">
            <w:r w:rsidRPr="00A541C8">
              <w:t xml:space="preserve">Report from Backbone Workgroup-Patrick Bucknum </w:t>
            </w:r>
          </w:p>
        </w:tc>
        <w:tc>
          <w:tcPr>
            <w:tcW w:w="5249" w:type="dxa"/>
          </w:tcPr>
          <w:p w:rsidR="002D7B5A" w:rsidRPr="00A67982" w:rsidRDefault="009146D2" w:rsidP="00A36F71">
            <w:r w:rsidRPr="00A67982">
              <w:t xml:space="preserve">Patrick reported an update from the backbone workgroup.  The group encourages the board to consider the NCWHC proposal (document </w:t>
            </w:r>
            <w:r w:rsidR="00FC3A13" w:rsidRPr="00A67982">
              <w:t>available</w:t>
            </w:r>
            <w:r w:rsidRPr="00A67982">
              <w:t xml:space="preserve"> on docvault) that was sent via letter 8-7-15.  </w:t>
            </w:r>
            <w:r w:rsidR="00A36F71" w:rsidRPr="00A67982">
              <w:t>The backbone workgroup recommends NCACH create a 501c3 to form the legal entity that will secure any needed administrative services necessary to fulfill the developing role of the NCACH.  After some discussion i</w:t>
            </w:r>
            <w:r w:rsidRPr="00A67982">
              <w:t xml:space="preserve">t </w:t>
            </w:r>
            <w:r w:rsidR="00A36F71" w:rsidRPr="00A67982">
              <w:t xml:space="preserve">was agreed that </w:t>
            </w:r>
            <w:r w:rsidRPr="00A67982">
              <w:t xml:space="preserve">NCACH is not ready for a decision on a legal entity </w:t>
            </w:r>
            <w:r w:rsidR="00A36F71" w:rsidRPr="00A67982">
              <w:t>and more discussion was warranted.</w:t>
            </w:r>
          </w:p>
        </w:tc>
        <w:tc>
          <w:tcPr>
            <w:tcW w:w="985" w:type="dxa"/>
          </w:tcPr>
          <w:p w:rsidR="00BA3BD1" w:rsidRPr="00BA3BD1" w:rsidRDefault="00BA3BD1" w:rsidP="00BA3BD1"/>
        </w:tc>
      </w:tr>
      <w:tr w:rsidR="00BA3BD1" w:rsidTr="00BA3BD1">
        <w:tc>
          <w:tcPr>
            <w:tcW w:w="3116" w:type="dxa"/>
          </w:tcPr>
          <w:p w:rsidR="00BA3BD1" w:rsidRPr="00BA3BD1" w:rsidRDefault="00A541C8" w:rsidP="00BA3BD1">
            <w:r w:rsidRPr="00A541C8">
              <w:t>Report from Bylaws Workgroup-Tom Thompson</w:t>
            </w:r>
          </w:p>
        </w:tc>
        <w:tc>
          <w:tcPr>
            <w:tcW w:w="5249" w:type="dxa"/>
          </w:tcPr>
          <w:p w:rsidR="00BA3BD1" w:rsidRPr="00A67982" w:rsidRDefault="009146D2" w:rsidP="002D7B5A">
            <w:r w:rsidRPr="00A67982">
              <w:t>Tom reported on the by-laws workgroup recommendations.  It is felt the by-laws should be as simple as possi</w:t>
            </w:r>
            <w:r w:rsidR="00E819BA" w:rsidRPr="00A67982">
              <w:t>ble and that the current Governing Board Charter can easily guide the by-law content.  It is recommended to consider the by-laws as Governance (vs. Governing Board) By-Laws to be inclusive of the all levels of the proposed organization (Governing Board, Regional Council, and county CHI)</w:t>
            </w:r>
            <w:r w:rsidR="00A36F71" w:rsidRPr="00A67982">
              <w:t>.  It was noted that NCACH will have to decide on a legal entity before the bylaws committee can present a draft set of bylaws.</w:t>
            </w:r>
            <w:bookmarkStart w:id="0" w:name="_GoBack"/>
            <w:bookmarkEnd w:id="0"/>
          </w:p>
        </w:tc>
        <w:tc>
          <w:tcPr>
            <w:tcW w:w="985" w:type="dxa"/>
          </w:tcPr>
          <w:p w:rsidR="00BA3BD1" w:rsidRDefault="00E819BA" w:rsidP="00BA3BD1">
            <w:r>
              <w:t>Tom-Draft Outline</w:t>
            </w:r>
          </w:p>
          <w:p w:rsidR="00E819BA" w:rsidRDefault="00E819BA" w:rsidP="00BA3BD1"/>
          <w:p w:rsidR="00E819BA" w:rsidRPr="00BA3BD1" w:rsidRDefault="00E819BA" w:rsidP="00BA3BD1">
            <w:r>
              <w:t xml:space="preserve">Group-Hold another meeting </w:t>
            </w:r>
          </w:p>
        </w:tc>
      </w:tr>
      <w:tr w:rsidR="00BA3BD1" w:rsidTr="00BA3BD1">
        <w:tc>
          <w:tcPr>
            <w:tcW w:w="3116" w:type="dxa"/>
          </w:tcPr>
          <w:p w:rsidR="00BA3BD1" w:rsidRPr="00BA3BD1" w:rsidRDefault="00A541C8" w:rsidP="00A541C8">
            <w:r w:rsidRPr="00A541C8">
              <w:rPr>
                <w:rFonts w:ascii="Calibri" w:hAnsi="Calibri" w:cs="Calibri"/>
                <w:color w:val="000000"/>
              </w:rPr>
              <w:lastRenderedPageBreak/>
              <w:t xml:space="preserve">Regional Health Initiatives Update-Cathy Meuret/Deb Miller </w:t>
            </w:r>
          </w:p>
        </w:tc>
        <w:tc>
          <w:tcPr>
            <w:tcW w:w="5249" w:type="dxa"/>
          </w:tcPr>
          <w:p w:rsidR="00444BA6" w:rsidRPr="00BA3BD1" w:rsidRDefault="00E819BA" w:rsidP="00FC3A13">
            <w:r>
              <w:t>Deb presented the two workgroups status update and project logic models</w:t>
            </w:r>
            <w:r w:rsidR="00FC3A13">
              <w:t xml:space="preserve"> (document available on docvault)</w:t>
            </w:r>
            <w:r>
              <w:t xml:space="preserve">.  Group discussed how these workgroups are focused on 2 specific projects, the process is helping to inform the process of regional health improvement planning.  </w:t>
            </w:r>
          </w:p>
        </w:tc>
        <w:tc>
          <w:tcPr>
            <w:tcW w:w="985" w:type="dxa"/>
          </w:tcPr>
          <w:p w:rsidR="00BA3BD1" w:rsidRPr="00BA3BD1" w:rsidRDefault="00BA3BD1" w:rsidP="00BA3BD1"/>
        </w:tc>
      </w:tr>
      <w:tr w:rsidR="00BA3BD1" w:rsidTr="00BA3BD1">
        <w:tc>
          <w:tcPr>
            <w:tcW w:w="3116" w:type="dxa"/>
          </w:tcPr>
          <w:p w:rsidR="00BA3BD1" w:rsidRPr="00BA3BD1" w:rsidRDefault="00A541C8" w:rsidP="00BA3BD1">
            <w:r w:rsidRPr="00A541C8">
              <w:t>Medicaid Waiver Update-Laurel Lee</w:t>
            </w:r>
          </w:p>
        </w:tc>
        <w:tc>
          <w:tcPr>
            <w:tcW w:w="5249" w:type="dxa"/>
          </w:tcPr>
          <w:p w:rsidR="00BA3BD1" w:rsidRPr="00BA3BD1" w:rsidRDefault="00FC3A13" w:rsidP="005F0B0B">
            <w:r>
              <w:t xml:space="preserve">Laurel attended the Medicaid Waiver Summit </w:t>
            </w:r>
            <w:r w:rsidR="005F0B0B">
              <w:t xml:space="preserve">on </w:t>
            </w:r>
            <w:r>
              <w:t xml:space="preserve">8-10-15 and reported her takeaways </w:t>
            </w:r>
            <w:r w:rsidR="005F0B0B">
              <w:t xml:space="preserve">(document available on docvault) </w:t>
            </w:r>
            <w:r>
              <w:t xml:space="preserve">from that meeting.  Discussion on concerns of how the waiver will affect ACH formation and </w:t>
            </w:r>
            <w:r w:rsidR="005F0B0B">
              <w:t>function.</w:t>
            </w:r>
          </w:p>
        </w:tc>
        <w:tc>
          <w:tcPr>
            <w:tcW w:w="985" w:type="dxa"/>
          </w:tcPr>
          <w:p w:rsidR="00BA3BD1" w:rsidRPr="00BA3BD1" w:rsidRDefault="00BA3BD1" w:rsidP="00BA3BD1"/>
        </w:tc>
      </w:tr>
      <w:tr w:rsidR="00BA3BD1" w:rsidTr="00BA3BD1">
        <w:tc>
          <w:tcPr>
            <w:tcW w:w="3116" w:type="dxa"/>
          </w:tcPr>
          <w:p w:rsidR="00BA3BD1" w:rsidRPr="00BA3BD1" w:rsidRDefault="00A541C8" w:rsidP="00BA3BD1">
            <w:r w:rsidRPr="00A541C8">
              <w:t>Sustainability</w:t>
            </w:r>
          </w:p>
        </w:tc>
        <w:tc>
          <w:tcPr>
            <w:tcW w:w="5249" w:type="dxa"/>
          </w:tcPr>
          <w:p w:rsidR="007403B3" w:rsidRPr="00BA3BD1" w:rsidRDefault="005F0B0B" w:rsidP="005F0B0B">
            <w:r>
              <w:t>The 2016 funding for next phase of the ACH work will be $150,000 and regions will have the option of a 6 or 12 month timeframe for the work.  It is agreed that this money alone won’t sustain the work that is ahead.</w:t>
            </w:r>
          </w:p>
        </w:tc>
        <w:tc>
          <w:tcPr>
            <w:tcW w:w="985" w:type="dxa"/>
          </w:tcPr>
          <w:p w:rsidR="00BA3BD1" w:rsidRPr="00BA3BD1" w:rsidRDefault="00BA3BD1" w:rsidP="00BA3BD1"/>
        </w:tc>
      </w:tr>
      <w:tr w:rsidR="00BA3BD1" w:rsidTr="00BA3BD1">
        <w:tc>
          <w:tcPr>
            <w:tcW w:w="3116" w:type="dxa"/>
          </w:tcPr>
          <w:p w:rsidR="00BA3BD1" w:rsidRPr="00BA3BD1" w:rsidRDefault="00A541C8" w:rsidP="005F0B0B">
            <w:r w:rsidRPr="00A541C8">
              <w:rPr>
                <w:rFonts w:ascii="Calibri" w:hAnsi="Calibri" w:cs="Calibri"/>
                <w:color w:val="000000"/>
              </w:rPr>
              <w:t xml:space="preserve">Update on Open Board Seats – </w:t>
            </w:r>
            <w:r w:rsidR="005F0B0B">
              <w:rPr>
                <w:rFonts w:ascii="Calibri" w:hAnsi="Calibri" w:cs="Calibri"/>
                <w:color w:val="000000"/>
              </w:rPr>
              <w:t>Barry Kling</w:t>
            </w:r>
          </w:p>
        </w:tc>
        <w:tc>
          <w:tcPr>
            <w:tcW w:w="5249" w:type="dxa"/>
          </w:tcPr>
          <w:p w:rsidR="009A7040" w:rsidRPr="00BA3BD1" w:rsidRDefault="005F0B0B" w:rsidP="007403B3">
            <w:r>
              <w:t>In Barry’s absence Patrick provided the update for the yet to be filled Governing Board seats.  Barry has extended invitation for the Business and Hispanic seat positions and is awaiting confirmation.  While the Regional Council has yet to be formalized, an invitation has been extended to Peter Morgan to take one of the two non-voting Regional Council board seats.</w:t>
            </w:r>
          </w:p>
        </w:tc>
        <w:tc>
          <w:tcPr>
            <w:tcW w:w="985" w:type="dxa"/>
          </w:tcPr>
          <w:p w:rsidR="00ED5A0B" w:rsidRPr="00ED5A0B" w:rsidRDefault="00ED5A0B" w:rsidP="00ED5A0B"/>
        </w:tc>
      </w:tr>
      <w:tr w:rsidR="00A541C8" w:rsidTr="00BA3BD1">
        <w:tc>
          <w:tcPr>
            <w:tcW w:w="3116" w:type="dxa"/>
          </w:tcPr>
          <w:p w:rsidR="00A541C8" w:rsidRPr="00A541C8" w:rsidRDefault="00A541C8" w:rsidP="00BA3BD1">
            <w:pPr>
              <w:rPr>
                <w:rFonts w:ascii="Calibri" w:hAnsi="Calibri" w:cs="Calibri"/>
                <w:color w:val="000000"/>
              </w:rPr>
            </w:pPr>
            <w:r w:rsidRPr="00A541C8">
              <w:rPr>
                <w:rFonts w:ascii="Calibri" w:hAnsi="Calibri" w:cs="Calibri"/>
                <w:color w:val="000000"/>
              </w:rPr>
              <w:t>Other Business</w:t>
            </w:r>
          </w:p>
        </w:tc>
        <w:tc>
          <w:tcPr>
            <w:tcW w:w="5249" w:type="dxa"/>
          </w:tcPr>
          <w:p w:rsidR="00A541C8" w:rsidRDefault="005F0B0B" w:rsidP="007403B3">
            <w:r>
              <w:t>No other business</w:t>
            </w:r>
          </w:p>
        </w:tc>
        <w:tc>
          <w:tcPr>
            <w:tcW w:w="985" w:type="dxa"/>
          </w:tcPr>
          <w:p w:rsidR="00A541C8" w:rsidRDefault="00A541C8" w:rsidP="00BA3BD1"/>
        </w:tc>
      </w:tr>
      <w:tr w:rsidR="00BA3BD1" w:rsidTr="00BA3BD1">
        <w:tc>
          <w:tcPr>
            <w:tcW w:w="3116" w:type="dxa"/>
          </w:tcPr>
          <w:p w:rsidR="00BA3BD1" w:rsidRPr="00BA3BD1" w:rsidRDefault="00BA3BD1" w:rsidP="00BA3BD1">
            <w:r w:rsidRPr="00BA3BD1">
              <w:t>Agenda Items for Next Meeting</w:t>
            </w:r>
          </w:p>
        </w:tc>
        <w:tc>
          <w:tcPr>
            <w:tcW w:w="5249" w:type="dxa"/>
          </w:tcPr>
          <w:p w:rsidR="00BA3BD1" w:rsidRPr="00BA3BD1" w:rsidRDefault="005F0B0B" w:rsidP="00BA3BD1">
            <w:r>
              <w:t>Carry forward the work of the By Laws and Backbone workgroups to the next NCACH meeting.  An update on the progress of the asset inventory will be presented.</w:t>
            </w:r>
          </w:p>
        </w:tc>
        <w:tc>
          <w:tcPr>
            <w:tcW w:w="985" w:type="dxa"/>
          </w:tcPr>
          <w:p w:rsidR="00BA3BD1" w:rsidRPr="00BA3BD1" w:rsidRDefault="00BA3BD1" w:rsidP="00BA3BD1"/>
        </w:tc>
      </w:tr>
    </w:tbl>
    <w:p w:rsidR="00BA3BD1" w:rsidRDefault="00BA3BD1" w:rsidP="00BA3BD1"/>
    <w:p w:rsidR="005F0B0B" w:rsidRDefault="00AA18A6" w:rsidP="00BA3BD1">
      <w:pPr>
        <w:rPr>
          <w:b/>
          <w:sz w:val="28"/>
        </w:rPr>
      </w:pPr>
      <w:r>
        <w:rPr>
          <w:b/>
          <w:sz w:val="28"/>
        </w:rPr>
        <w:t>NEXT MEETING:</w:t>
      </w:r>
      <w:r>
        <w:rPr>
          <w:b/>
          <w:sz w:val="28"/>
        </w:rPr>
        <w:tab/>
      </w:r>
      <w:r w:rsidR="005F0B0B">
        <w:rPr>
          <w:b/>
          <w:sz w:val="28"/>
        </w:rPr>
        <w:t>Monday October 5, 2015</w:t>
      </w:r>
    </w:p>
    <w:p w:rsidR="00AA18A6" w:rsidRDefault="00AA18A6" w:rsidP="00BA3BD1">
      <w:pPr>
        <w:rPr>
          <w:b/>
          <w:sz w:val="28"/>
        </w:rPr>
      </w:pPr>
      <w:r>
        <w:rPr>
          <w:b/>
          <w:sz w:val="28"/>
        </w:rPr>
        <w:tab/>
      </w:r>
      <w:r>
        <w:rPr>
          <w:b/>
          <w:sz w:val="28"/>
        </w:rPr>
        <w:tab/>
      </w:r>
      <w:r>
        <w:rPr>
          <w:b/>
          <w:sz w:val="28"/>
        </w:rPr>
        <w:tab/>
        <w:t>12:30-2:30 p.m.</w:t>
      </w:r>
    </w:p>
    <w:p w:rsidR="00AA18A6" w:rsidRPr="005F0B0B" w:rsidRDefault="00AA18A6" w:rsidP="00BA3BD1">
      <w:pPr>
        <w:rPr>
          <w:b/>
          <w:sz w:val="28"/>
        </w:rPr>
      </w:pPr>
      <w:r>
        <w:rPr>
          <w:b/>
          <w:sz w:val="28"/>
        </w:rPr>
        <w:tab/>
      </w:r>
      <w:r>
        <w:rPr>
          <w:b/>
          <w:sz w:val="28"/>
        </w:rPr>
        <w:tab/>
      </w:r>
      <w:r>
        <w:rPr>
          <w:b/>
          <w:sz w:val="28"/>
        </w:rPr>
        <w:tab/>
        <w:t>Confluence Technology Center</w:t>
      </w:r>
    </w:p>
    <w:sectPr w:rsidR="00AA18A6" w:rsidRPr="005F0B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8F" w:rsidRDefault="006C358F" w:rsidP="00A541C8">
      <w:pPr>
        <w:spacing w:after="0" w:line="240" w:lineRule="auto"/>
      </w:pPr>
      <w:r>
        <w:separator/>
      </w:r>
    </w:p>
  </w:endnote>
  <w:endnote w:type="continuationSeparator" w:id="0">
    <w:p w:rsidR="006C358F" w:rsidRDefault="006C358F" w:rsidP="00A5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8F" w:rsidRDefault="006C358F" w:rsidP="00A541C8">
      <w:pPr>
        <w:spacing w:after="0" w:line="240" w:lineRule="auto"/>
      </w:pPr>
      <w:r>
        <w:separator/>
      </w:r>
    </w:p>
  </w:footnote>
  <w:footnote w:type="continuationSeparator" w:id="0">
    <w:p w:rsidR="006C358F" w:rsidRDefault="006C358F" w:rsidP="00A5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C8" w:rsidRPr="0003645E" w:rsidRDefault="00A541C8" w:rsidP="00A541C8">
    <w:pPr>
      <w:pStyle w:val="Title"/>
      <w:rPr>
        <w:rStyle w:val="Emphasis"/>
        <w:b/>
        <w:sz w:val="40"/>
        <w:szCs w:val="40"/>
      </w:rPr>
    </w:pPr>
    <w:r w:rsidRPr="0003645E">
      <w:rPr>
        <w:rStyle w:val="Emphasis"/>
        <w:b/>
        <w:noProof/>
        <w:sz w:val="40"/>
        <w:szCs w:val="40"/>
      </w:rPr>
      <w:drawing>
        <wp:anchor distT="0" distB="0" distL="114300" distR="114300" simplePos="0" relativeHeight="251659264" behindDoc="1" locked="0" layoutInCell="1" allowOverlap="1" wp14:anchorId="07CFAC0B" wp14:editId="4507C4B0">
          <wp:simplePos x="0" y="0"/>
          <wp:positionH relativeFrom="column">
            <wp:posOffset>-238125</wp:posOffset>
          </wp:positionH>
          <wp:positionV relativeFrom="paragraph">
            <wp:posOffset>-295275</wp:posOffset>
          </wp:positionV>
          <wp:extent cx="971550" cy="9639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CH Word Clou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63930"/>
                  </a:xfrm>
                  <a:prstGeom prst="rect">
                    <a:avLst/>
                  </a:prstGeom>
                </pic:spPr>
              </pic:pic>
            </a:graphicData>
          </a:graphic>
        </wp:anchor>
      </w:drawing>
    </w:r>
    <w:r w:rsidRPr="0003645E">
      <w:rPr>
        <w:rStyle w:val="Emphasis"/>
        <w:b/>
        <w:sz w:val="40"/>
        <w:szCs w:val="40"/>
      </w:rPr>
      <w:t>North Central</w:t>
    </w:r>
  </w:p>
  <w:p w:rsidR="00A541C8" w:rsidRPr="0003645E" w:rsidRDefault="00A541C8" w:rsidP="00A541C8">
    <w:pPr>
      <w:pStyle w:val="Title"/>
      <w:rPr>
        <w:rStyle w:val="Emphasis"/>
        <w:b/>
        <w:sz w:val="40"/>
        <w:szCs w:val="40"/>
      </w:rPr>
    </w:pPr>
    <w:r w:rsidRPr="0003645E">
      <w:rPr>
        <w:rStyle w:val="Emphasis"/>
        <w:b/>
        <w:sz w:val="40"/>
        <w:szCs w:val="40"/>
      </w:rPr>
      <w:t>Accountable Community of Health</w:t>
    </w:r>
  </w:p>
  <w:p w:rsidR="00A541C8" w:rsidRDefault="00A54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53C0A"/>
    <w:multiLevelType w:val="hybridMultilevel"/>
    <w:tmpl w:val="FB56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6765B"/>
    <w:multiLevelType w:val="hybridMultilevel"/>
    <w:tmpl w:val="BED80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0788E"/>
    <w:multiLevelType w:val="hybridMultilevel"/>
    <w:tmpl w:val="80027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73B9F"/>
    <w:multiLevelType w:val="hybridMultilevel"/>
    <w:tmpl w:val="F8B0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30900"/>
    <w:multiLevelType w:val="hybridMultilevel"/>
    <w:tmpl w:val="DCE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D1"/>
    <w:rsid w:val="000035CB"/>
    <w:rsid w:val="002D7B5A"/>
    <w:rsid w:val="003F69C4"/>
    <w:rsid w:val="00444BA6"/>
    <w:rsid w:val="005F0B0B"/>
    <w:rsid w:val="006C358F"/>
    <w:rsid w:val="007403B3"/>
    <w:rsid w:val="007A2F0D"/>
    <w:rsid w:val="008B13D9"/>
    <w:rsid w:val="00907472"/>
    <w:rsid w:val="009146D2"/>
    <w:rsid w:val="009A7040"/>
    <w:rsid w:val="00A36F71"/>
    <w:rsid w:val="00A541C8"/>
    <w:rsid w:val="00A67982"/>
    <w:rsid w:val="00AA18A6"/>
    <w:rsid w:val="00BA05CC"/>
    <w:rsid w:val="00BA3BD1"/>
    <w:rsid w:val="00CD6A94"/>
    <w:rsid w:val="00D87CA5"/>
    <w:rsid w:val="00E819BA"/>
    <w:rsid w:val="00ED5A0B"/>
    <w:rsid w:val="00FC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7CA11-81F4-4E2F-A3B8-668D3BF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BD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A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A94"/>
    <w:pPr>
      <w:ind w:left="720"/>
      <w:contextualSpacing/>
    </w:pPr>
  </w:style>
  <w:style w:type="character" w:styleId="Hyperlink">
    <w:name w:val="Hyperlink"/>
    <w:basedOn w:val="DefaultParagraphFont"/>
    <w:uiPriority w:val="99"/>
    <w:unhideWhenUsed/>
    <w:rsid w:val="002D7B5A"/>
    <w:rPr>
      <w:color w:val="0563C1" w:themeColor="hyperlink"/>
      <w:u w:val="single"/>
    </w:rPr>
  </w:style>
  <w:style w:type="paragraph" w:styleId="Header">
    <w:name w:val="header"/>
    <w:basedOn w:val="Normal"/>
    <w:link w:val="HeaderChar"/>
    <w:uiPriority w:val="99"/>
    <w:unhideWhenUsed/>
    <w:rsid w:val="00A54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C8"/>
  </w:style>
  <w:style w:type="paragraph" w:styleId="Footer">
    <w:name w:val="footer"/>
    <w:basedOn w:val="Normal"/>
    <w:link w:val="FooterChar"/>
    <w:uiPriority w:val="99"/>
    <w:unhideWhenUsed/>
    <w:rsid w:val="00A54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C8"/>
  </w:style>
  <w:style w:type="paragraph" w:styleId="Title">
    <w:name w:val="Title"/>
    <w:basedOn w:val="Normal"/>
    <w:next w:val="Normal"/>
    <w:link w:val="TitleChar"/>
    <w:uiPriority w:val="10"/>
    <w:qFormat/>
    <w:rsid w:val="00A541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41C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A54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cp:revision>
  <dcterms:created xsi:type="dcterms:W3CDTF">2015-09-02T20:15:00Z</dcterms:created>
  <dcterms:modified xsi:type="dcterms:W3CDTF">2015-09-02T20:15:00Z</dcterms:modified>
</cp:coreProperties>
</file>