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548"/>
      </w:tblGrid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Pr>
              <w:rPr>
                <w:b/>
                <w:bCs/>
              </w:rPr>
            </w:pPr>
            <w:r w:rsidRPr="00D472E6">
              <w:rPr>
                <w:b/>
                <w:bCs/>
              </w:rPr>
              <w:t>Community of Health Grant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Pr>
              <w:rPr>
                <w:b/>
                <w:bCs/>
              </w:rPr>
            </w:pPr>
            <w:r w:rsidRPr="00D472E6">
              <w:rPr>
                <w:b/>
                <w:bCs/>
              </w:rPr>
              <w:t>Projected Budget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Pr>
              <w:rPr>
                <w:b/>
                <w:bCs/>
              </w:rPr>
            </w:pPr>
            <w:r w:rsidRPr="00D472E6">
              <w:rPr>
                <w:b/>
                <w:bCs/>
              </w:rPr>
              <w:t>For the year ending December 31, 2014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/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/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15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 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  <w:rPr>
                <w:b/>
                <w:bCs/>
              </w:rPr>
            </w:pPr>
            <w:r w:rsidRPr="00D472E6">
              <w:rPr>
                <w:b/>
                <w:bCs/>
              </w:rPr>
              <w:t>Year: 2014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/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Pr>
              <w:rPr>
                <w:b/>
                <w:bCs/>
              </w:rPr>
            </w:pPr>
            <w:r w:rsidRPr="00D472E6">
              <w:rPr>
                <w:b/>
                <w:bCs/>
              </w:rPr>
              <w:t>Grant Funds (HCA COH)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50,000.00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Community Choice funds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10,000.00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 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> 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Pr>
              <w:rPr>
                <w:b/>
                <w:bCs/>
              </w:rPr>
            </w:pPr>
            <w:r w:rsidRPr="00D472E6">
              <w:rPr>
                <w:b/>
                <w:bCs/>
              </w:rPr>
              <w:t xml:space="preserve">Total Grant </w:t>
            </w:r>
            <w:proofErr w:type="spellStart"/>
            <w:r w:rsidRPr="00D472E6">
              <w:rPr>
                <w:b/>
                <w:bCs/>
              </w:rPr>
              <w:t>Revnenues</w:t>
            </w:r>
            <w:proofErr w:type="spellEnd"/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  <w:rPr>
                <w:b/>
                <w:bCs/>
              </w:rPr>
            </w:pPr>
            <w:r w:rsidRPr="00D472E6">
              <w:rPr>
                <w:b/>
                <w:bCs/>
              </w:rPr>
              <w:t xml:space="preserve"> $             60,000.00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/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Pr>
              <w:rPr>
                <w:b/>
                <w:bCs/>
              </w:rPr>
            </w:pPr>
            <w:r w:rsidRPr="00D472E6">
              <w:rPr>
                <w:b/>
                <w:bCs/>
              </w:rPr>
              <w:t>General and Administrative Expenses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roofErr w:type="spellStart"/>
            <w:r w:rsidRPr="00D472E6">
              <w:t>Okan</w:t>
            </w:r>
            <w:proofErr w:type="spellEnd"/>
            <w:r w:rsidRPr="00D472E6">
              <w:t>. Public Health Admin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5,000.00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Contract services - consultants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2,000.00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 xml:space="preserve">Meetings - </w:t>
            </w:r>
            <w:proofErr w:type="spellStart"/>
            <w:r w:rsidRPr="00D472E6">
              <w:t>Conf</w:t>
            </w:r>
            <w:proofErr w:type="spellEnd"/>
            <w:r w:rsidRPr="00D472E6">
              <w:t>/Lodging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    200.00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Miscellaneous Expenses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    200.00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Food/refreshments ($300/event)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4,800.00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Office Rent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In-Kind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Office supplies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    100.00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Postage and courier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      50.00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Salaries - Coordinator (Deb 30hrs/Jesus 10hrs/</w:t>
            </w:r>
            <w:proofErr w:type="spellStart"/>
            <w:r w:rsidRPr="00D472E6">
              <w:t>wk</w:t>
            </w:r>
            <w:proofErr w:type="spellEnd"/>
            <w:r w:rsidRPr="00D472E6">
              <w:t>)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38,720.00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Deb's Health Ins. Benefits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1,518.00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Employee Benefits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6,969.00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Taxes - payroll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3,097.60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 xml:space="preserve">Telephone service &amp; </w:t>
            </w:r>
            <w:proofErr w:type="spellStart"/>
            <w:r w:rsidRPr="00D472E6">
              <w:t>teleconf</w:t>
            </w:r>
            <w:proofErr w:type="spellEnd"/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    100.00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Travel-Staff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$               2,000.00 </w:t>
            </w:r>
          </w:p>
        </w:tc>
      </w:tr>
      <w:tr w:rsidR="00D472E6" w:rsidRPr="00D472E6" w:rsidTr="00D472E6">
        <w:trPr>
          <w:trHeight w:val="315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Technology-hardware/software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 xml:space="preserve"> In-Kind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pPr>
              <w:rPr>
                <w:b/>
                <w:bCs/>
              </w:rPr>
            </w:pPr>
            <w:r w:rsidRPr="00D472E6">
              <w:rPr>
                <w:b/>
                <w:bCs/>
              </w:rPr>
              <w:t>Total Expenses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  <w:rPr>
                <w:b/>
                <w:bCs/>
              </w:rPr>
            </w:pPr>
            <w:r w:rsidRPr="00D472E6">
              <w:rPr>
                <w:b/>
                <w:bCs/>
              </w:rPr>
              <w:t xml:space="preserve">$64,754.60 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>
            <w:r w:rsidRPr="00D472E6">
              <w:t>Carry Forward (if any):</w:t>
            </w:r>
          </w:p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  <w:r w:rsidRPr="00D472E6">
              <w:t>($4,754.60)</w:t>
            </w: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/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  <w:tr w:rsidR="00D472E6" w:rsidRPr="00D472E6" w:rsidTr="00D472E6">
        <w:trPr>
          <w:trHeight w:val="300"/>
        </w:trPr>
        <w:tc>
          <w:tcPr>
            <w:tcW w:w="4740" w:type="dxa"/>
            <w:noWrap/>
            <w:hideMark/>
          </w:tcPr>
          <w:p w:rsidR="00D472E6" w:rsidRPr="00D472E6" w:rsidRDefault="00D472E6"/>
        </w:tc>
        <w:tc>
          <w:tcPr>
            <w:tcW w:w="4548" w:type="dxa"/>
            <w:noWrap/>
            <w:hideMark/>
          </w:tcPr>
          <w:p w:rsidR="00D472E6" w:rsidRPr="00D472E6" w:rsidRDefault="00D472E6" w:rsidP="00D472E6">
            <w:pPr>
              <w:jc w:val="right"/>
            </w:pPr>
          </w:p>
        </w:tc>
      </w:tr>
    </w:tbl>
    <w:p w:rsidR="00805347" w:rsidRDefault="00805347">
      <w:bookmarkStart w:id="0" w:name="_GoBack"/>
      <w:bookmarkEnd w:id="0"/>
    </w:p>
    <w:sectPr w:rsidR="0080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6"/>
    <w:rsid w:val="00805347"/>
    <w:rsid w:val="00D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Jesus Hernandez</cp:lastModifiedBy>
  <cp:revision>1</cp:revision>
  <dcterms:created xsi:type="dcterms:W3CDTF">2014-07-08T23:28:00Z</dcterms:created>
  <dcterms:modified xsi:type="dcterms:W3CDTF">2014-07-08T23:31:00Z</dcterms:modified>
</cp:coreProperties>
</file>