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C5918" w:rsidRPr="00BC5918" w:rsidRDefault="00BC5918" w:rsidP="00BC5918">
      <w:pPr>
        <w:rPr>
          <w:b/>
          <w:sz w:val="16"/>
          <w:szCs w:val="16"/>
        </w:rPr>
      </w:pPr>
      <w:bookmarkStart w:id="0" w:name="_GoBack"/>
      <w:bookmarkEnd w:id="0"/>
      <w:r w:rsidRPr="00BC5918">
        <w:rPr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-400050</wp:posOffset>
            </wp:positionV>
            <wp:extent cx="3648075" cy="638175"/>
            <wp:effectExtent l="19050" t="0" r="9525" b="0"/>
            <wp:wrapSquare wrapText="bothSides"/>
            <wp:docPr id="1" name="Picture 1" descr="C:\Users\meuretc\AppData\Local\Temp\SNAGHTML18bd4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meuretc\AppData\Local\Temp\SNAGHTML18bd46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5D6" w:rsidRPr="002140F5" w:rsidRDefault="003A0694" w:rsidP="002140F5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396875</wp:posOffset>
                </wp:positionV>
                <wp:extent cx="6010275" cy="285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7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31.25pt;width:473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sc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"/>
            </w:pict>
          </mc:Fallback>
        </mc:AlternateContent>
      </w:r>
      <w:r w:rsidR="00B9285A" w:rsidRPr="002140F5">
        <w:rPr>
          <w:b/>
          <w:sz w:val="48"/>
          <w:szCs w:val="48"/>
        </w:rPr>
        <w:t xml:space="preserve">Data Sources </w:t>
      </w:r>
    </w:p>
    <w:p w:rsidR="005357F5" w:rsidRDefault="005357F5" w:rsidP="00613B50">
      <w:pPr>
        <w:spacing w:line="240" w:lineRule="auto"/>
        <w:ind w:left="1080" w:hanging="1080"/>
        <w:rPr>
          <w:b/>
          <w:sz w:val="16"/>
          <w:szCs w:val="16"/>
        </w:rPr>
      </w:pPr>
    </w:p>
    <w:p w:rsidR="00F4166D" w:rsidRDefault="00F4166D" w:rsidP="00F4166D">
      <w:pPr>
        <w:rPr>
          <w:sz w:val="20"/>
          <w:szCs w:val="20"/>
        </w:rPr>
      </w:pPr>
      <w:r>
        <w:rPr>
          <w:sz w:val="20"/>
          <w:szCs w:val="20"/>
        </w:rPr>
        <w:t xml:space="preserve">This is a </w:t>
      </w:r>
      <w:r w:rsidR="00BB56B5">
        <w:rPr>
          <w:sz w:val="20"/>
          <w:szCs w:val="20"/>
        </w:rPr>
        <w:t>sample list</w:t>
      </w:r>
      <w:r>
        <w:rPr>
          <w:sz w:val="20"/>
          <w:szCs w:val="20"/>
        </w:rPr>
        <w:t xml:space="preserve"> of </w:t>
      </w:r>
      <w:r w:rsidR="00BB56B5">
        <w:rPr>
          <w:sz w:val="20"/>
          <w:szCs w:val="20"/>
        </w:rPr>
        <w:t xml:space="preserve">health indicator </w:t>
      </w:r>
      <w:r>
        <w:rPr>
          <w:sz w:val="20"/>
          <w:szCs w:val="20"/>
        </w:rPr>
        <w:t>websites and reference tools. There are many other data resources</w:t>
      </w:r>
      <w:r w:rsidR="00BB56B5">
        <w:rPr>
          <w:sz w:val="20"/>
          <w:szCs w:val="20"/>
        </w:rPr>
        <w:t xml:space="preserve"> available. </w:t>
      </w:r>
    </w:p>
    <w:p w:rsidR="00F4166D" w:rsidRPr="005357F5" w:rsidRDefault="00F4166D" w:rsidP="00613B50">
      <w:pPr>
        <w:spacing w:line="240" w:lineRule="auto"/>
        <w:ind w:left="1080" w:hanging="1080"/>
        <w:rPr>
          <w:b/>
          <w:sz w:val="16"/>
          <w:szCs w:val="16"/>
        </w:rPr>
      </w:pPr>
    </w:p>
    <w:p w:rsidR="000A4EEA" w:rsidRDefault="000A4EEA" w:rsidP="00613B50">
      <w:pPr>
        <w:spacing w:line="240" w:lineRule="auto"/>
        <w:ind w:left="1080" w:hanging="1080"/>
        <w:rPr>
          <w:b/>
        </w:rPr>
      </w:pPr>
      <w:r>
        <w:rPr>
          <w:b/>
        </w:rPr>
        <w:t>America’s Health Rankings</w:t>
      </w:r>
    </w:p>
    <w:p w:rsidR="000A4EEA" w:rsidRDefault="007021B5" w:rsidP="00613B50">
      <w:pPr>
        <w:spacing w:line="240" w:lineRule="auto"/>
        <w:ind w:left="1080" w:hanging="1080"/>
        <w:rPr>
          <w:sz w:val="20"/>
          <w:szCs w:val="20"/>
        </w:rPr>
      </w:pPr>
      <w:hyperlink r:id="rId9" w:history="1">
        <w:r w:rsidR="000A4EEA" w:rsidRPr="000A4EEA">
          <w:rPr>
            <w:rStyle w:val="Hyperlink"/>
            <w:sz w:val="20"/>
            <w:szCs w:val="20"/>
          </w:rPr>
          <w:t>http://www.americashealthrankings.org</w:t>
        </w:r>
      </w:hyperlink>
      <w:r w:rsidR="000A4EEA" w:rsidRPr="000A4EEA">
        <w:rPr>
          <w:sz w:val="20"/>
          <w:szCs w:val="20"/>
        </w:rPr>
        <w:t xml:space="preserve"> </w:t>
      </w:r>
    </w:p>
    <w:p w:rsidR="000A4EEA" w:rsidRPr="000A4EEA" w:rsidRDefault="000A4EEA" w:rsidP="00613B50">
      <w:pPr>
        <w:spacing w:line="240" w:lineRule="auto"/>
        <w:ind w:left="1080" w:hanging="1080"/>
        <w:rPr>
          <w:sz w:val="20"/>
          <w:szCs w:val="20"/>
        </w:rPr>
      </w:pPr>
      <w:r>
        <w:rPr>
          <w:sz w:val="20"/>
          <w:szCs w:val="20"/>
        </w:rPr>
        <w:t xml:space="preserve">Annual assessments of U.S. health on a state-by-state basis. </w:t>
      </w:r>
    </w:p>
    <w:p w:rsidR="00613B50" w:rsidRPr="00BC5918" w:rsidRDefault="00281696" w:rsidP="00613B50">
      <w:pPr>
        <w:spacing w:line="240" w:lineRule="auto"/>
        <w:ind w:left="1080" w:hanging="1080"/>
        <w:rPr>
          <w:b/>
        </w:rPr>
      </w:pPr>
      <w:r w:rsidRPr="00BC5918">
        <w:rPr>
          <w:b/>
        </w:rPr>
        <w:t>Behavioral Risk Factor Surveillance System (BRFSS)</w:t>
      </w:r>
      <w:r w:rsidR="00E0025B">
        <w:rPr>
          <w:b/>
        </w:rPr>
        <w:t xml:space="preserve"> </w:t>
      </w:r>
    </w:p>
    <w:p w:rsidR="00281696" w:rsidRPr="002140F5" w:rsidRDefault="007021B5" w:rsidP="00613B50">
      <w:pPr>
        <w:spacing w:line="240" w:lineRule="auto"/>
        <w:ind w:left="1080" w:hanging="1080"/>
        <w:rPr>
          <w:sz w:val="20"/>
          <w:szCs w:val="20"/>
        </w:rPr>
      </w:pPr>
      <w:hyperlink r:id="rId10" w:history="1">
        <w:r w:rsidR="008D224C" w:rsidRPr="002140F5">
          <w:rPr>
            <w:rStyle w:val="Hyperlink"/>
            <w:sz w:val="20"/>
            <w:szCs w:val="20"/>
          </w:rPr>
          <w:t>http://www.cdc.gov/brfss/</w:t>
        </w:r>
      </w:hyperlink>
    </w:p>
    <w:p w:rsidR="008D224C" w:rsidRPr="00613B50" w:rsidRDefault="008D224C" w:rsidP="00613B50">
      <w:pPr>
        <w:spacing w:line="240" w:lineRule="auto"/>
        <w:rPr>
          <w:b/>
          <w:sz w:val="20"/>
          <w:szCs w:val="20"/>
        </w:rPr>
      </w:pPr>
      <w:r w:rsidRPr="00613B50">
        <w:rPr>
          <w:rFonts w:cs="Helvetica"/>
          <w:color w:val="000000"/>
          <w:sz w:val="20"/>
          <w:szCs w:val="20"/>
          <w:shd w:val="clear" w:color="auto" w:fill="FFFFFF"/>
        </w:rPr>
        <w:t xml:space="preserve">U.S. residents </w:t>
      </w:r>
      <w:r w:rsidR="002140F5">
        <w:rPr>
          <w:rFonts w:cs="Helvetica"/>
          <w:color w:val="000000"/>
          <w:sz w:val="20"/>
          <w:szCs w:val="20"/>
          <w:shd w:val="clear" w:color="auto" w:fill="FFFFFF"/>
        </w:rPr>
        <w:t>participate in surveys about</w:t>
      </w:r>
      <w:r w:rsidRPr="00613B50">
        <w:rPr>
          <w:rFonts w:cs="Helvetica"/>
          <w:color w:val="000000"/>
          <w:sz w:val="20"/>
          <w:szCs w:val="20"/>
          <w:shd w:val="clear" w:color="auto" w:fill="FFFFFF"/>
        </w:rPr>
        <w:t xml:space="preserve"> their health-related risk behaviors, chronic health conditions, and use of preventive services.</w:t>
      </w:r>
      <w:r w:rsidRPr="00613B50">
        <w:rPr>
          <w:rStyle w:val="apple-converted-space"/>
          <w:rFonts w:cs="Helvetica"/>
          <w:color w:val="000000"/>
          <w:sz w:val="20"/>
          <w:szCs w:val="20"/>
          <w:shd w:val="clear" w:color="auto" w:fill="FFFFFF"/>
        </w:rPr>
        <w:t> </w:t>
      </w:r>
    </w:p>
    <w:p w:rsidR="00281696" w:rsidRPr="00613B50" w:rsidRDefault="00281696" w:rsidP="00281696">
      <w:pPr>
        <w:rPr>
          <w:b/>
          <w:sz w:val="20"/>
          <w:szCs w:val="20"/>
        </w:rPr>
      </w:pPr>
      <w:r w:rsidRPr="00BC5918">
        <w:rPr>
          <w:b/>
        </w:rPr>
        <w:t xml:space="preserve">Centers for Disease Control and Prevention’s Division of Nutrition, Physical Activity, and Obesity </w:t>
      </w:r>
    </w:p>
    <w:p w:rsidR="00613B50" w:rsidRPr="00613B50" w:rsidRDefault="007021B5" w:rsidP="00613B50">
      <w:pPr>
        <w:rPr>
          <w:sz w:val="20"/>
          <w:szCs w:val="20"/>
        </w:rPr>
      </w:pPr>
      <w:hyperlink r:id="rId11" w:history="1">
        <w:r w:rsidR="00613B50" w:rsidRPr="00613B50">
          <w:rPr>
            <w:rStyle w:val="Hyperlink"/>
            <w:sz w:val="20"/>
            <w:szCs w:val="20"/>
          </w:rPr>
          <w:t>http://nccd.cdc.gov/NPAO_DTM/</w:t>
        </w:r>
      </w:hyperlink>
    </w:p>
    <w:p w:rsidR="00613B50" w:rsidRPr="00613B50" w:rsidRDefault="00613B50" w:rsidP="00613B50">
      <w:pPr>
        <w:rPr>
          <w:sz w:val="20"/>
          <w:szCs w:val="20"/>
        </w:rPr>
      </w:pPr>
      <w:r w:rsidRPr="00613B50">
        <w:rPr>
          <w:sz w:val="20"/>
          <w:szCs w:val="20"/>
        </w:rPr>
        <w:t xml:space="preserve">State-specific behavior, policy and environmental indicators from multiple data sources about obesity, nutrition, physical activity and breastfeeding. </w:t>
      </w:r>
    </w:p>
    <w:p w:rsidR="00613B50" w:rsidRPr="00BC5918" w:rsidRDefault="00281696" w:rsidP="00281696">
      <w:pPr>
        <w:ind w:left="1080" w:hanging="1080"/>
        <w:rPr>
          <w:b/>
        </w:rPr>
      </w:pPr>
      <w:r w:rsidRPr="00BC5918">
        <w:rPr>
          <w:b/>
        </w:rPr>
        <w:t xml:space="preserve">Chelan Douglas Trends </w:t>
      </w:r>
    </w:p>
    <w:p w:rsidR="00281696" w:rsidRDefault="00281696" w:rsidP="00281696">
      <w:pPr>
        <w:ind w:left="1080" w:hanging="1080"/>
        <w:rPr>
          <w:sz w:val="20"/>
          <w:szCs w:val="20"/>
        </w:rPr>
      </w:pPr>
      <w:r w:rsidRPr="00613B50">
        <w:rPr>
          <w:sz w:val="20"/>
          <w:szCs w:val="20"/>
        </w:rPr>
        <w:t xml:space="preserve"> </w:t>
      </w:r>
      <w:hyperlink r:id="rId12" w:history="1">
        <w:r w:rsidRPr="00613B50">
          <w:rPr>
            <w:rStyle w:val="Hyperlink"/>
            <w:sz w:val="20"/>
            <w:szCs w:val="20"/>
          </w:rPr>
          <w:t>http://www.chelandouglastrends.ewu.edu/</w:t>
        </w:r>
      </w:hyperlink>
    </w:p>
    <w:p w:rsidR="00613B50" w:rsidRPr="00613B50" w:rsidRDefault="002140F5" w:rsidP="00613B5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13B50" w:rsidRPr="00613B50">
        <w:rPr>
          <w:sz w:val="20"/>
          <w:szCs w:val="20"/>
        </w:rPr>
        <w:t xml:space="preserve">ndicators from multiple data sources about </w:t>
      </w:r>
      <w:r>
        <w:rPr>
          <w:sz w:val="20"/>
          <w:szCs w:val="20"/>
        </w:rPr>
        <w:t>the NCW region, including</w:t>
      </w:r>
      <w:r w:rsidR="00041FE0">
        <w:rPr>
          <w:sz w:val="20"/>
          <w:szCs w:val="20"/>
        </w:rPr>
        <w:t xml:space="preserve"> people</w:t>
      </w:r>
      <w:r>
        <w:rPr>
          <w:sz w:val="20"/>
          <w:szCs w:val="20"/>
        </w:rPr>
        <w:t xml:space="preserve">, </w:t>
      </w:r>
      <w:r w:rsidR="00041FE0">
        <w:rPr>
          <w:sz w:val="20"/>
          <w:szCs w:val="20"/>
        </w:rPr>
        <w:t>culture and leisure activities, economics, education, the environment, health, housing, public safety</w:t>
      </w:r>
      <w:r>
        <w:rPr>
          <w:sz w:val="20"/>
          <w:szCs w:val="20"/>
        </w:rPr>
        <w:t>,</w:t>
      </w:r>
      <w:r w:rsidR="00041FE0">
        <w:rPr>
          <w:sz w:val="20"/>
          <w:szCs w:val="20"/>
        </w:rPr>
        <w:t xml:space="preserve"> and transportation. </w:t>
      </w:r>
      <w:r w:rsidR="00613B50" w:rsidRPr="00613B50">
        <w:rPr>
          <w:sz w:val="20"/>
          <w:szCs w:val="20"/>
        </w:rPr>
        <w:t xml:space="preserve"> </w:t>
      </w:r>
    </w:p>
    <w:p w:rsidR="00613B50" w:rsidRPr="00BC5918" w:rsidRDefault="00281696" w:rsidP="00281696">
      <w:pPr>
        <w:ind w:left="1080" w:hanging="1080"/>
        <w:rPr>
          <w:b/>
        </w:rPr>
      </w:pPr>
      <w:r w:rsidRPr="00BC5918">
        <w:rPr>
          <w:b/>
        </w:rPr>
        <w:t>Community Commons</w:t>
      </w:r>
    </w:p>
    <w:p w:rsidR="00281696" w:rsidRPr="00613B50" w:rsidRDefault="007021B5" w:rsidP="00281696">
      <w:pPr>
        <w:ind w:left="1080" w:hanging="1080"/>
        <w:rPr>
          <w:sz w:val="20"/>
          <w:szCs w:val="20"/>
        </w:rPr>
      </w:pPr>
      <w:hyperlink r:id="rId13" w:history="1">
        <w:r w:rsidR="00281696" w:rsidRPr="00613B50">
          <w:rPr>
            <w:rStyle w:val="Hyperlink"/>
            <w:sz w:val="20"/>
            <w:szCs w:val="20"/>
          </w:rPr>
          <w:t>http://www.communitycommons.org/</w:t>
        </w:r>
      </w:hyperlink>
    </w:p>
    <w:p w:rsidR="00613B50" w:rsidRPr="00981B7B" w:rsidRDefault="002140F5" w:rsidP="00981B7B">
      <w:pPr>
        <w:rPr>
          <w:b/>
          <w:sz w:val="20"/>
          <w:szCs w:val="20"/>
        </w:rPr>
      </w:pPr>
      <w:r>
        <w:rPr>
          <w:rFonts w:cs="Helvetica"/>
          <w:color w:val="211F1F"/>
          <w:sz w:val="20"/>
          <w:szCs w:val="20"/>
          <w:shd w:val="clear" w:color="auto" w:fill="FFFFFF"/>
        </w:rPr>
        <w:t>D</w:t>
      </w:r>
      <w:r w:rsidR="00981B7B" w:rsidRPr="00981B7B">
        <w:rPr>
          <w:rFonts w:cs="Helvetica"/>
          <w:color w:val="211F1F"/>
          <w:sz w:val="20"/>
          <w:szCs w:val="20"/>
          <w:shd w:val="clear" w:color="auto" w:fill="FFFFFF"/>
        </w:rPr>
        <w:t xml:space="preserve">ata from multiple sources. A variety of information can be layered in many ways on maps or tables. </w:t>
      </w:r>
      <w:r>
        <w:rPr>
          <w:rFonts w:cs="Helvetica"/>
          <w:color w:val="211F1F"/>
          <w:sz w:val="20"/>
          <w:szCs w:val="20"/>
          <w:shd w:val="clear" w:color="auto" w:fill="FFFFFF"/>
        </w:rPr>
        <w:t xml:space="preserve">Create your own maps and tables on the site. </w:t>
      </w:r>
    </w:p>
    <w:p w:rsidR="00613B50" w:rsidRPr="00BC5918" w:rsidRDefault="00281696" w:rsidP="00281696">
      <w:pPr>
        <w:ind w:left="1080" w:hanging="1080"/>
        <w:rPr>
          <w:b/>
        </w:rPr>
      </w:pPr>
      <w:r w:rsidRPr="00BC5918">
        <w:rPr>
          <w:b/>
        </w:rPr>
        <w:t>County Health Rankings and Road Maps</w:t>
      </w:r>
    </w:p>
    <w:p w:rsidR="00281696" w:rsidRDefault="007021B5" w:rsidP="00281696">
      <w:pPr>
        <w:ind w:left="1080" w:hanging="1080"/>
        <w:rPr>
          <w:sz w:val="20"/>
          <w:szCs w:val="20"/>
        </w:rPr>
      </w:pPr>
      <w:hyperlink r:id="rId14" w:history="1">
        <w:r w:rsidR="00281696" w:rsidRPr="00613B50">
          <w:rPr>
            <w:rStyle w:val="Hyperlink"/>
            <w:sz w:val="20"/>
            <w:szCs w:val="20"/>
          </w:rPr>
          <w:t>http://www.countyhealthrankings.org/</w:t>
        </w:r>
      </w:hyperlink>
      <w:r w:rsidR="00C62748">
        <w:rPr>
          <w:sz w:val="20"/>
          <w:szCs w:val="20"/>
        </w:rPr>
        <w:t xml:space="preserve"> </w:t>
      </w:r>
    </w:p>
    <w:p w:rsidR="00C62748" w:rsidRPr="00C62748" w:rsidRDefault="002140F5" w:rsidP="00C62748">
      <w:pPr>
        <w:rPr>
          <w:sz w:val="20"/>
          <w:szCs w:val="20"/>
        </w:rPr>
      </w:pPr>
      <w:r>
        <w:rPr>
          <w:rFonts w:cs="Arial"/>
          <w:color w:val="393939"/>
          <w:sz w:val="20"/>
          <w:szCs w:val="20"/>
          <w:shd w:val="clear" w:color="auto" w:fill="FFFFFF"/>
        </w:rPr>
        <w:t>V</w:t>
      </w:r>
      <w:r w:rsidR="00C62748" w:rsidRPr="00C62748">
        <w:rPr>
          <w:rFonts w:cs="Arial"/>
          <w:color w:val="393939"/>
          <w:sz w:val="20"/>
          <w:szCs w:val="20"/>
          <w:shd w:val="clear" w:color="auto" w:fill="FFFFFF"/>
        </w:rPr>
        <w:t xml:space="preserve">ital health factors, </w:t>
      </w:r>
      <w:r w:rsidR="00513064">
        <w:rPr>
          <w:rFonts w:cs="Arial"/>
          <w:color w:val="393939"/>
          <w:sz w:val="20"/>
          <w:szCs w:val="20"/>
          <w:shd w:val="clear" w:color="auto" w:fill="FFFFFF"/>
        </w:rPr>
        <w:t>such as</w:t>
      </w:r>
      <w:r w:rsidR="00C62748" w:rsidRPr="00C62748">
        <w:rPr>
          <w:rFonts w:cs="Arial"/>
          <w:color w:val="393939"/>
          <w:sz w:val="20"/>
          <w:szCs w:val="20"/>
          <w:shd w:val="clear" w:color="auto" w:fill="FFFFFF"/>
        </w:rPr>
        <w:t xml:space="preserve"> high school graduation rates, obesity, smoking, unemployment, access to healthy foods, the quality of air and water, income, and teen births</w:t>
      </w:r>
      <w:r w:rsidR="00513064">
        <w:rPr>
          <w:rFonts w:cs="Arial"/>
          <w:color w:val="393939"/>
          <w:sz w:val="20"/>
          <w:szCs w:val="20"/>
          <w:shd w:val="clear" w:color="auto" w:fill="FFFFFF"/>
        </w:rPr>
        <w:t>. Data is available</w:t>
      </w:r>
      <w:r w:rsidR="00C62748" w:rsidRPr="00C62748">
        <w:rPr>
          <w:rFonts w:cs="Arial"/>
          <w:color w:val="393939"/>
          <w:sz w:val="20"/>
          <w:szCs w:val="20"/>
          <w:shd w:val="clear" w:color="auto" w:fill="FFFFFF"/>
        </w:rPr>
        <w:t xml:space="preserve"> </w:t>
      </w:r>
      <w:r w:rsidR="00513064">
        <w:rPr>
          <w:rFonts w:cs="Arial"/>
          <w:color w:val="393939"/>
          <w:sz w:val="20"/>
          <w:szCs w:val="20"/>
          <w:shd w:val="clear" w:color="auto" w:fill="FFFFFF"/>
        </w:rPr>
        <w:t xml:space="preserve">for most U.S. </w:t>
      </w:r>
      <w:r w:rsidR="000A4EEA">
        <w:rPr>
          <w:rFonts w:cs="Arial"/>
          <w:color w:val="393939"/>
          <w:sz w:val="20"/>
          <w:szCs w:val="20"/>
          <w:shd w:val="clear" w:color="auto" w:fill="FFFFFF"/>
        </w:rPr>
        <w:t>count</w:t>
      </w:r>
      <w:r w:rsidR="00513064">
        <w:rPr>
          <w:rFonts w:cs="Arial"/>
          <w:color w:val="393939"/>
          <w:sz w:val="20"/>
          <w:szCs w:val="20"/>
          <w:shd w:val="clear" w:color="auto" w:fill="FFFFFF"/>
        </w:rPr>
        <w:t>ies, including</w:t>
      </w:r>
      <w:r w:rsidR="00C62748">
        <w:rPr>
          <w:rFonts w:cs="Arial"/>
          <w:color w:val="393939"/>
          <w:sz w:val="20"/>
          <w:szCs w:val="20"/>
          <w:shd w:val="clear" w:color="auto" w:fill="FFFFFF"/>
        </w:rPr>
        <w:t xml:space="preserve"> Chelan, Douglas, Okanogan and Grant</w:t>
      </w:r>
      <w:r>
        <w:rPr>
          <w:rFonts w:cs="Arial"/>
          <w:color w:val="393939"/>
          <w:sz w:val="20"/>
          <w:szCs w:val="20"/>
          <w:shd w:val="clear" w:color="auto" w:fill="FFFFFF"/>
        </w:rPr>
        <w:t xml:space="preserve">, and </w:t>
      </w:r>
      <w:r w:rsidR="00C62748">
        <w:rPr>
          <w:rFonts w:cs="Arial"/>
          <w:color w:val="393939"/>
          <w:sz w:val="20"/>
          <w:szCs w:val="20"/>
          <w:shd w:val="clear" w:color="auto" w:fill="FFFFFF"/>
        </w:rPr>
        <w:t xml:space="preserve">is updated annually.  </w:t>
      </w:r>
      <w:r w:rsidR="00C62748" w:rsidRPr="00C62748">
        <w:rPr>
          <w:rStyle w:val="apple-converted-space"/>
          <w:rFonts w:cs="Arial"/>
          <w:color w:val="393939"/>
          <w:sz w:val="20"/>
          <w:szCs w:val="20"/>
          <w:shd w:val="clear" w:color="auto" w:fill="FFFFFF"/>
        </w:rPr>
        <w:t> </w:t>
      </w:r>
    </w:p>
    <w:p w:rsidR="002140F5" w:rsidRPr="008F7A0B" w:rsidRDefault="002140F5" w:rsidP="002140F5">
      <w:pPr>
        <w:rPr>
          <w:b/>
          <w:sz w:val="24"/>
          <w:szCs w:val="24"/>
        </w:rPr>
      </w:pPr>
      <w:r w:rsidRPr="008F7A0B">
        <w:rPr>
          <w:b/>
          <w:sz w:val="24"/>
          <w:szCs w:val="24"/>
        </w:rPr>
        <w:lastRenderedPageBreak/>
        <w:t>Data Sources</w:t>
      </w:r>
      <w:r>
        <w:rPr>
          <w:b/>
          <w:sz w:val="24"/>
          <w:szCs w:val="24"/>
        </w:rPr>
        <w:t xml:space="preserve"> </w:t>
      </w:r>
      <w:r w:rsidRPr="00E0025B">
        <w:rPr>
          <w:sz w:val="18"/>
          <w:szCs w:val="18"/>
        </w:rPr>
        <w:t>(page 2)</w:t>
      </w:r>
      <w:r>
        <w:rPr>
          <w:b/>
          <w:sz w:val="24"/>
          <w:szCs w:val="24"/>
        </w:rPr>
        <w:t xml:space="preserve"> ___________________________________________________________</w:t>
      </w:r>
    </w:p>
    <w:p w:rsidR="002140F5" w:rsidRPr="000A4EEA" w:rsidRDefault="002140F5" w:rsidP="00281696">
      <w:pPr>
        <w:ind w:left="1080" w:hanging="1080"/>
        <w:rPr>
          <w:b/>
          <w:sz w:val="16"/>
          <w:szCs w:val="16"/>
        </w:rPr>
      </w:pPr>
    </w:p>
    <w:p w:rsidR="00613B50" w:rsidRPr="00BC5918" w:rsidRDefault="00281696" w:rsidP="00281696">
      <w:pPr>
        <w:ind w:left="1080" w:hanging="1080"/>
        <w:rPr>
          <w:b/>
        </w:rPr>
      </w:pPr>
      <w:r w:rsidRPr="00BC5918">
        <w:rPr>
          <w:b/>
        </w:rPr>
        <w:t>CWH Community Health Needs Assessment</w:t>
      </w:r>
      <w:r w:rsidR="006371BE" w:rsidRPr="00BC5918">
        <w:rPr>
          <w:b/>
        </w:rPr>
        <w:t xml:space="preserve"> </w:t>
      </w:r>
      <w:r w:rsidR="00BC5918">
        <w:rPr>
          <w:b/>
        </w:rPr>
        <w:t>Report and Implementation Plan</w:t>
      </w:r>
      <w:r w:rsidR="008F7A0B">
        <w:rPr>
          <w:b/>
        </w:rPr>
        <w:t xml:space="preserve"> (2013)</w:t>
      </w:r>
    </w:p>
    <w:p w:rsidR="00281696" w:rsidRPr="00613B50" w:rsidRDefault="00281696" w:rsidP="00281696">
      <w:pPr>
        <w:ind w:left="1080" w:hanging="1080"/>
        <w:rPr>
          <w:sz w:val="20"/>
          <w:szCs w:val="20"/>
        </w:rPr>
      </w:pPr>
      <w:r w:rsidRPr="00613B50">
        <w:rPr>
          <w:sz w:val="20"/>
          <w:szCs w:val="20"/>
        </w:rPr>
        <w:t xml:space="preserve"> </w:t>
      </w:r>
      <w:hyperlink r:id="rId15" w:history="1">
        <w:r w:rsidRPr="00613B50">
          <w:rPr>
            <w:rStyle w:val="Hyperlink"/>
            <w:sz w:val="20"/>
            <w:szCs w:val="20"/>
          </w:rPr>
          <w:t>http://www.cwhs.com/healthinfo/CHNA.aspx</w:t>
        </w:r>
      </w:hyperlink>
    </w:p>
    <w:p w:rsidR="00BC5918" w:rsidRPr="008F7A0B" w:rsidRDefault="00BC5918" w:rsidP="008F7A0B">
      <w:pPr>
        <w:rPr>
          <w:sz w:val="20"/>
          <w:szCs w:val="20"/>
        </w:rPr>
      </w:pPr>
      <w:r w:rsidRPr="008F7A0B">
        <w:rPr>
          <w:sz w:val="20"/>
          <w:szCs w:val="20"/>
        </w:rPr>
        <w:t>A four-</w:t>
      </w:r>
      <w:r w:rsidR="008F7A0B" w:rsidRPr="008F7A0B">
        <w:rPr>
          <w:sz w:val="20"/>
          <w:szCs w:val="20"/>
        </w:rPr>
        <w:t xml:space="preserve">county regional assessment of health needs </w:t>
      </w:r>
      <w:r w:rsidR="008F7A0B">
        <w:rPr>
          <w:sz w:val="20"/>
          <w:szCs w:val="20"/>
        </w:rPr>
        <w:t xml:space="preserve">and implementation plans </w:t>
      </w:r>
      <w:r w:rsidR="008F7A0B" w:rsidRPr="008F7A0B">
        <w:rPr>
          <w:sz w:val="20"/>
          <w:szCs w:val="20"/>
        </w:rPr>
        <w:t xml:space="preserve">compiled </w:t>
      </w:r>
      <w:r w:rsidR="008F7A0B">
        <w:rPr>
          <w:sz w:val="20"/>
          <w:szCs w:val="20"/>
        </w:rPr>
        <w:t xml:space="preserve">by Community Choice Healthcare Network and Central Washington Hospital. </w:t>
      </w:r>
    </w:p>
    <w:p w:rsidR="00613B50" w:rsidRDefault="00281696" w:rsidP="00281696">
      <w:pPr>
        <w:ind w:left="1080" w:hanging="1080"/>
      </w:pPr>
      <w:r w:rsidRPr="00BC5918">
        <w:rPr>
          <w:b/>
        </w:rPr>
        <w:t>Healthy Youth Survey</w:t>
      </w:r>
      <w:r w:rsidRPr="00BC5918">
        <w:t xml:space="preserve"> </w:t>
      </w:r>
    </w:p>
    <w:p w:rsidR="00B9285A" w:rsidRPr="00613B50" w:rsidRDefault="007021B5" w:rsidP="00B9285A">
      <w:pPr>
        <w:ind w:left="1080" w:hanging="1080"/>
        <w:rPr>
          <w:sz w:val="20"/>
          <w:szCs w:val="20"/>
        </w:rPr>
      </w:pPr>
      <w:hyperlink r:id="rId16" w:history="1">
        <w:r w:rsidR="00B9285A" w:rsidRPr="00613B50">
          <w:rPr>
            <w:rStyle w:val="Hyperlink"/>
            <w:sz w:val="20"/>
            <w:szCs w:val="20"/>
          </w:rPr>
          <w:t>http://www.askhys.net/</w:t>
        </w:r>
      </w:hyperlink>
    </w:p>
    <w:p w:rsidR="00B9285A" w:rsidRPr="00513064" w:rsidRDefault="00B9285A" w:rsidP="00B9285A">
      <w:pPr>
        <w:rPr>
          <w:sz w:val="20"/>
          <w:szCs w:val="20"/>
        </w:rPr>
      </w:pPr>
      <w:r w:rsidRPr="00513064">
        <w:rPr>
          <w:sz w:val="20"/>
          <w:szCs w:val="20"/>
        </w:rPr>
        <w:t xml:space="preserve">A self-reported, bi-annual survey of WA State students </w:t>
      </w:r>
      <w:r w:rsidR="00513064" w:rsidRPr="00513064">
        <w:rPr>
          <w:sz w:val="20"/>
          <w:szCs w:val="20"/>
        </w:rPr>
        <w:t xml:space="preserve">in </w:t>
      </w:r>
      <w:r w:rsidRPr="00513064">
        <w:rPr>
          <w:sz w:val="20"/>
          <w:szCs w:val="20"/>
        </w:rPr>
        <w:t xml:space="preserve">grades 6, 8, 10 and 12. Students answer questions about drug use (e.g., tobacco, alcohol, marijuana), safety and violence, diet, activity levels, and related topics. </w:t>
      </w:r>
    </w:p>
    <w:p w:rsidR="00613B50" w:rsidRPr="00BC5918" w:rsidRDefault="00041FE0" w:rsidP="00281696">
      <w:pPr>
        <w:ind w:left="1080" w:hanging="1080"/>
        <w:rPr>
          <w:b/>
        </w:rPr>
      </w:pPr>
      <w:r w:rsidRPr="00BC5918">
        <w:rPr>
          <w:b/>
        </w:rPr>
        <w:t>WA-ASSESS</w:t>
      </w:r>
    </w:p>
    <w:p w:rsidR="00685846" w:rsidRDefault="00685846" w:rsidP="00685846">
      <w:pPr>
        <w:rPr>
          <w:sz w:val="20"/>
          <w:szCs w:val="20"/>
        </w:rPr>
      </w:pPr>
      <w:r>
        <w:rPr>
          <w:sz w:val="20"/>
          <w:szCs w:val="20"/>
        </w:rPr>
        <w:t xml:space="preserve">An electronic forum open to anyone interested in community health assessment in Washington State, WA-Assess is </w:t>
      </w:r>
      <w:r w:rsidR="00056F96">
        <w:rPr>
          <w:sz w:val="20"/>
          <w:szCs w:val="20"/>
        </w:rPr>
        <w:t xml:space="preserve">one of many listservs </w:t>
      </w:r>
      <w:r>
        <w:rPr>
          <w:sz w:val="20"/>
          <w:szCs w:val="20"/>
        </w:rPr>
        <w:t xml:space="preserve">available </w:t>
      </w:r>
      <w:r w:rsidR="00056F96">
        <w:rPr>
          <w:sz w:val="20"/>
          <w:szCs w:val="20"/>
        </w:rPr>
        <w:t>on</w:t>
      </w:r>
      <w:r>
        <w:rPr>
          <w:sz w:val="20"/>
          <w:szCs w:val="20"/>
        </w:rPr>
        <w:t xml:space="preserve"> the WA State DOH website. Joint this listserv at</w:t>
      </w:r>
      <w:r w:rsidR="00B042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17" w:history="1">
        <w:r w:rsidRPr="0058271A">
          <w:rPr>
            <w:rStyle w:val="Hyperlink"/>
            <w:sz w:val="20"/>
            <w:szCs w:val="20"/>
          </w:rPr>
          <w:t>http://listserv.wa.gov/archives/wa-assess.html</w:t>
        </w:r>
      </w:hyperlink>
      <w:r>
        <w:rPr>
          <w:sz w:val="20"/>
          <w:szCs w:val="20"/>
        </w:rPr>
        <w:t xml:space="preserve">. </w:t>
      </w:r>
    </w:p>
    <w:p w:rsidR="00F4166D" w:rsidRDefault="00F4166D" w:rsidP="00685846">
      <w:pPr>
        <w:rPr>
          <w:sz w:val="20"/>
          <w:szCs w:val="20"/>
        </w:rPr>
      </w:pPr>
    </w:p>
    <w:sectPr w:rsidR="00F4166D" w:rsidSect="007E5EF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B5" w:rsidRDefault="007021B5" w:rsidP="00B042E5">
      <w:pPr>
        <w:spacing w:after="0" w:line="240" w:lineRule="auto"/>
      </w:pPr>
      <w:r>
        <w:separator/>
      </w:r>
    </w:p>
  </w:endnote>
  <w:endnote w:type="continuationSeparator" w:id="0">
    <w:p w:rsidR="007021B5" w:rsidRDefault="007021B5" w:rsidP="00B0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E0025B">
    <w:pPr>
      <w:pStyle w:val="Footer"/>
    </w:pPr>
    <w:r>
      <w:t>4/6/2015</w:t>
    </w:r>
    <w:r>
      <w:ptab w:relativeTo="margin" w:alignment="center" w:leader="none"/>
    </w:r>
    <w:r>
      <w:t>Data Sources</w:t>
    </w:r>
    <w:r>
      <w:tab/>
      <w:t>C-D Health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B5" w:rsidRDefault="007021B5" w:rsidP="00B042E5">
      <w:pPr>
        <w:spacing w:after="0" w:line="240" w:lineRule="auto"/>
      </w:pPr>
      <w:r>
        <w:separator/>
      </w:r>
    </w:p>
  </w:footnote>
  <w:footnote w:type="continuationSeparator" w:id="0">
    <w:p w:rsidR="007021B5" w:rsidRDefault="007021B5" w:rsidP="00B0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E0E3E"/>
    <w:multiLevelType w:val="hybridMultilevel"/>
    <w:tmpl w:val="2DC8D9A2"/>
    <w:lvl w:ilvl="0" w:tplc="CF6E6A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5248E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861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4C0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589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3250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C0E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43A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74D5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7570B4D"/>
    <w:multiLevelType w:val="hybridMultilevel"/>
    <w:tmpl w:val="652A8B88"/>
    <w:lvl w:ilvl="0" w:tplc="68C4B3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C0861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C057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E09B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9AC5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5487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1EC8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50C6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2F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8"/>
    <w:rsid w:val="00041FE0"/>
    <w:rsid w:val="00056F96"/>
    <w:rsid w:val="00074742"/>
    <w:rsid w:val="000A4EEA"/>
    <w:rsid w:val="000C1141"/>
    <w:rsid w:val="000C75D6"/>
    <w:rsid w:val="002140F5"/>
    <w:rsid w:val="00281696"/>
    <w:rsid w:val="003A0694"/>
    <w:rsid w:val="00513064"/>
    <w:rsid w:val="005357F5"/>
    <w:rsid w:val="005648E8"/>
    <w:rsid w:val="00613B50"/>
    <w:rsid w:val="006371BE"/>
    <w:rsid w:val="00685846"/>
    <w:rsid w:val="007021B5"/>
    <w:rsid w:val="00735581"/>
    <w:rsid w:val="007E5EF8"/>
    <w:rsid w:val="00837584"/>
    <w:rsid w:val="008D224C"/>
    <w:rsid w:val="008F7A0B"/>
    <w:rsid w:val="00981B7B"/>
    <w:rsid w:val="009B287F"/>
    <w:rsid w:val="00B042E5"/>
    <w:rsid w:val="00B9285A"/>
    <w:rsid w:val="00BB56B5"/>
    <w:rsid w:val="00BC5918"/>
    <w:rsid w:val="00C377A0"/>
    <w:rsid w:val="00C62748"/>
    <w:rsid w:val="00E0025B"/>
    <w:rsid w:val="00F121C4"/>
    <w:rsid w:val="00F4166D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7CB6F-8765-4249-9D92-1F6ED81E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F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224C"/>
  </w:style>
  <w:style w:type="paragraph" w:styleId="BalloonText">
    <w:name w:val="Balloon Text"/>
    <w:basedOn w:val="Normal"/>
    <w:link w:val="BalloonTextChar"/>
    <w:uiPriority w:val="99"/>
    <w:semiHidden/>
    <w:unhideWhenUsed/>
    <w:rsid w:val="006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1FE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6274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0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2E5"/>
  </w:style>
  <w:style w:type="paragraph" w:styleId="Footer">
    <w:name w:val="footer"/>
    <w:basedOn w:val="Normal"/>
    <w:link w:val="FooterChar"/>
    <w:uiPriority w:val="99"/>
    <w:unhideWhenUsed/>
    <w:rsid w:val="00B0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86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9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3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20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8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0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0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65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munitycommons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landouglastrends.ewu.edu/" TargetMode="External"/><Relationship Id="rId17" Type="http://schemas.openxmlformats.org/officeDocument/2006/relationships/hyperlink" Target="http://listserv.wa.gov/archives/wa-ass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khys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ccd.cdc.gov/NPAO_DT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whs.com/healthinfo/CHNA.aspx" TargetMode="External"/><Relationship Id="rId10" Type="http://schemas.openxmlformats.org/officeDocument/2006/relationships/hyperlink" Target="http://www.cdc.gov/brf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ericashealthrankings.org" TargetMode="External"/><Relationship Id="rId14" Type="http://schemas.openxmlformats.org/officeDocument/2006/relationships/hyperlink" Target="http://www.countyhealthrankin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918E-CC7C-4D2F-A610-269232C1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meuretc</dc:creator>
  <cp:lastModifiedBy>Deb</cp:lastModifiedBy>
  <cp:revision>2</cp:revision>
  <cp:lastPrinted>2015-04-09T23:34:00Z</cp:lastPrinted>
  <dcterms:created xsi:type="dcterms:W3CDTF">2015-04-22T17:08:00Z</dcterms:created>
  <dcterms:modified xsi:type="dcterms:W3CDTF">2015-04-22T17:08:00Z</dcterms:modified>
</cp:coreProperties>
</file>