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EE1F6D" w:rsidRDefault="00994D25" w:rsidP="007301E5">
      <w:pPr>
        <w:pStyle w:val="Title"/>
        <w:pBdr>
          <w:bottom w:val="single" w:sz="8" w:space="0" w:color="4F81BD" w:themeColor="accent1"/>
        </w:pBdr>
        <w:jc w:val="center"/>
      </w:pPr>
      <w:r>
        <w:t>Grant</w:t>
      </w:r>
      <w:r w:rsidR="00F81178">
        <w:t xml:space="preserve"> CHI</w:t>
      </w:r>
      <w:r w:rsidR="00090711">
        <w:t xml:space="preserve"> Notes</w:t>
      </w:r>
    </w:p>
    <w:p w:rsidR="00EE1F6D" w:rsidRPr="007301E5" w:rsidRDefault="00994D25" w:rsidP="000F51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21</w:t>
      </w:r>
      <w:r w:rsidR="00F81178">
        <w:rPr>
          <w:b/>
          <w:sz w:val="24"/>
          <w:szCs w:val="24"/>
        </w:rPr>
        <w:t>, 2015 9:00 a.m.-11:00 a.m.</w:t>
      </w:r>
    </w:p>
    <w:p w:rsidR="00F81178" w:rsidRPr="00F81178" w:rsidRDefault="00F81178" w:rsidP="00F81178"/>
    <w:p w:rsidR="00F81178" w:rsidRDefault="000F6CE0" w:rsidP="00F85B49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bookmarkStart w:id="0" w:name="_GoBack"/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2934B6" wp14:editId="40D7FC77">
            <wp:simplePos x="0" y="0"/>
            <wp:positionH relativeFrom="column">
              <wp:posOffset>595630</wp:posOffset>
            </wp:positionH>
            <wp:positionV relativeFrom="page">
              <wp:posOffset>2129011</wp:posOffset>
            </wp:positionV>
            <wp:extent cx="1951990" cy="19157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t Cloud 4-21-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81178" w:rsidRPr="00F81178">
        <w:rPr>
          <w:rFonts w:cs="Arial"/>
          <w:b/>
          <w:sz w:val="24"/>
          <w:szCs w:val="24"/>
        </w:rPr>
        <w:t>Welcome/introductions</w:t>
      </w:r>
      <w:r w:rsidR="00F81178" w:rsidRPr="00F81178">
        <w:rPr>
          <w:rFonts w:cs="Arial"/>
          <w:sz w:val="24"/>
          <w:szCs w:val="24"/>
        </w:rPr>
        <w:t>-</w:t>
      </w:r>
    </w:p>
    <w:p w:rsidR="00F85B49" w:rsidRPr="00F81178" w:rsidRDefault="00F85B49" w:rsidP="00F85B49">
      <w:pPr>
        <w:pStyle w:val="NoSpacing"/>
        <w:ind w:left="1080"/>
        <w:rPr>
          <w:rFonts w:cs="Arial"/>
          <w:sz w:val="24"/>
          <w:szCs w:val="24"/>
        </w:rPr>
      </w:pPr>
    </w:p>
    <w:p w:rsidR="00F81178" w:rsidRDefault="00F81178" w:rsidP="00F85B49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ACH Process Updates</w:t>
      </w:r>
    </w:p>
    <w:p w:rsidR="00F85B49" w:rsidRDefault="00F85B49" w:rsidP="00F85B49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Meeting participant comments:</w:t>
      </w:r>
    </w:p>
    <w:p w:rsidR="00F85B49" w:rsidRDefault="00F85B49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Development of trust is critical in these early stages</w:t>
      </w:r>
    </w:p>
    <w:p w:rsidR="00F85B49" w:rsidRDefault="00F85B49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Trust, accountability, transparency are all important moving forward.  Concerns there is no transparency commitment in the draft document.</w:t>
      </w:r>
    </w:p>
    <w:p w:rsidR="00F85B49" w:rsidRDefault="00F85B49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principle on the “role of voice” of the board doesn’t capture all of what is important at this level.</w:t>
      </w:r>
    </w:p>
    <w:p w:rsidR="00F85B49" w:rsidRDefault="00F85B49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hospitals in Grant Co. are Public Hospital Districts.  There needs to be a better/more inclusive “voice” for the rural communities.  Please bring meetings to the rural communities.</w:t>
      </w:r>
    </w:p>
    <w:p w:rsidR="00F85B49" w:rsidRDefault="00F85B49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Can you (board seats) be required/create formality to engage “constituents” </w:t>
      </w:r>
      <w:proofErr w:type="gramStart"/>
      <w:r>
        <w:rPr>
          <w:rFonts w:cs="Arial"/>
          <w:sz w:val="24"/>
          <w:szCs w:val="24"/>
        </w:rPr>
        <w:t>of  who</w:t>
      </w:r>
      <w:proofErr w:type="gramEnd"/>
      <w:r>
        <w:rPr>
          <w:rFonts w:cs="Arial"/>
          <w:sz w:val="24"/>
          <w:szCs w:val="24"/>
        </w:rPr>
        <w:t xml:space="preserve"> they represent to insure inclusivity of all voices?</w:t>
      </w:r>
    </w:p>
    <w:p w:rsidR="00F85B49" w:rsidRDefault="00F85B49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Re-evaluation is important in this process in 2015.  It is important to do an evaluation/survey of constituents annually for the first few years.</w:t>
      </w:r>
    </w:p>
    <w:p w:rsidR="00F85B49" w:rsidRDefault="00F85B49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Concerns that Advisory Council won’t have power.  There needs to be more formality in charter to give the Advisory Council more leverage/input to Governing Board.  As an example, there should be policy written that will give AC nearly equal power to the Governing Board.</w:t>
      </w:r>
    </w:p>
    <w:p w:rsidR="00F85B49" w:rsidRDefault="00F85B49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Where does the consumer fit in?</w:t>
      </w:r>
    </w:p>
    <w:p w:rsidR="00F85B49" w:rsidRDefault="005C7683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Concerns still remain about allocations of resources.  </w:t>
      </w:r>
    </w:p>
    <w:p w:rsidR="005C7683" w:rsidRDefault="005C7683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Governing Board still gray.  What are the distinctions between it and the Advisory Council?</w:t>
      </w:r>
    </w:p>
    <w:p w:rsidR="005C7683" w:rsidRDefault="005C7683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don’t know the scope/significance of the Governing Body yet.</w:t>
      </w:r>
    </w:p>
    <w:p w:rsidR="005C7683" w:rsidRDefault="005C7683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finance/reimbursement committee in the proposal.</w:t>
      </w:r>
    </w:p>
    <w:p w:rsidR="005C7683" w:rsidRDefault="005C7683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See it as a series of filters, such as Principles 2 &amp; 3.  See communication both ways as the heart and soul of the ACH.</w:t>
      </w:r>
    </w:p>
    <w:p w:rsidR="005C7683" w:rsidRDefault="005C7683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benefits to the rural communities needs to show up here.</w:t>
      </w:r>
    </w:p>
    <w:p w:rsidR="005C7683" w:rsidRDefault="005C7683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Language of the representation on page 3 okay?  Importance of Governing Board/Advisory Council is accountability.  </w:t>
      </w:r>
    </w:p>
    <w:p w:rsidR="005C7683" w:rsidRDefault="005C7683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Should there be a limit to the number of representatives by county?  Selection of seats is important consideration.  Tom (Chair of Regional Hospital Council) spoke about the Washington State Hospital Association focus on a nominating committee that could balance the appointments to be fair.</w:t>
      </w:r>
    </w:p>
    <w:p w:rsidR="005C7683" w:rsidRDefault="005C7683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the future we would hope this becomes less of a geographic representation and more accountability to the community/ACH as a whole.</w:t>
      </w:r>
    </w:p>
    <w:p w:rsidR="005C7683" w:rsidRDefault="005C7683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Initial representatives have the task of engaging the constituents.</w:t>
      </w:r>
    </w:p>
    <w:p w:rsidR="005C7683" w:rsidRDefault="005C7683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Equality will be important early in the process.</w:t>
      </w:r>
    </w:p>
    <w:p w:rsidR="005C7683" w:rsidRDefault="005C7683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Choosing from within stakeholder</w:t>
      </w:r>
      <w:r w:rsidR="007F1CE6">
        <w:rPr>
          <w:rFonts w:cs="Arial"/>
          <w:sz w:val="24"/>
          <w:szCs w:val="24"/>
        </w:rPr>
        <w:t>/constituency</w:t>
      </w:r>
      <w:r>
        <w:rPr>
          <w:rFonts w:cs="Arial"/>
          <w:sz w:val="24"/>
          <w:szCs w:val="24"/>
        </w:rPr>
        <w:t xml:space="preserve"> group can help in building trust.</w:t>
      </w:r>
    </w:p>
    <w:p w:rsidR="007F1CE6" w:rsidRDefault="007F1CE6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Why is Confluence the only healthcare system called out in the board membership?  (Jeff responded with the explanation this is the only regionally reaching system in this RSA.)</w:t>
      </w:r>
    </w:p>
    <w:p w:rsidR="007F1CE6" w:rsidRDefault="007F1CE6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Where is representation of women/children?  Veterans?  Aging?  Where would this occur?  On the Governing Board or on the Advisory Council?  If we are looking at population health we need to look at moms and kids.</w:t>
      </w:r>
    </w:p>
    <w:p w:rsidR="007F1CE6" w:rsidRDefault="007F1CE6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Primary Care can be representative of a “broad age” population.</w:t>
      </w:r>
    </w:p>
    <w:p w:rsidR="007F1CE6" w:rsidRDefault="007F1CE6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we get too prescriptive we’ll “cut off our legs”.</w:t>
      </w:r>
    </w:p>
    <w:p w:rsidR="007F1CE6" w:rsidRDefault="007F1CE6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Suggestion for an outreach committee that can reach/have a presence within the individual constituents.</w:t>
      </w:r>
    </w:p>
    <w:p w:rsidR="007F1CE6" w:rsidRDefault="007F1CE6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Should the Advisory Council have a role in recommending the succession for Governing Board seats?</w:t>
      </w:r>
    </w:p>
    <w:p w:rsidR="007F1CE6" w:rsidRDefault="007F1CE6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needs to be a communication plan going on at all times.  Also a formal communication plan with County Commissioners/City Councils, etc.</w:t>
      </w:r>
    </w:p>
    <w:p w:rsidR="007F1CE6" w:rsidRPr="00F81178" w:rsidRDefault="007F1CE6" w:rsidP="00F85B49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Women/Children/Poverty could be a position at large from groups that represent (Aging and Adult; </w:t>
      </w:r>
      <w:proofErr w:type="spellStart"/>
      <w:r>
        <w:rPr>
          <w:rFonts w:cs="Arial"/>
          <w:sz w:val="24"/>
          <w:szCs w:val="24"/>
        </w:rPr>
        <w:t>Headstart</w:t>
      </w:r>
      <w:proofErr w:type="spellEnd"/>
      <w:proofErr w:type="gramStart"/>
      <w:r>
        <w:rPr>
          <w:rFonts w:cs="Arial"/>
          <w:sz w:val="24"/>
          <w:szCs w:val="24"/>
        </w:rPr>
        <w:t>;,</w:t>
      </w:r>
      <w:proofErr w:type="gramEnd"/>
      <w:r>
        <w:rPr>
          <w:rFonts w:cs="Arial"/>
          <w:sz w:val="24"/>
          <w:szCs w:val="24"/>
        </w:rPr>
        <w:t xml:space="preserve"> etc.)</w:t>
      </w:r>
    </w:p>
    <w:p w:rsidR="00F81178" w:rsidRPr="007F1CE6" w:rsidRDefault="00F81178" w:rsidP="007F1CE6">
      <w:pPr>
        <w:pStyle w:val="NoSpacing"/>
        <w:numPr>
          <w:ilvl w:val="0"/>
          <w:numId w:val="5"/>
        </w:numPr>
        <w:rPr>
          <w:rFonts w:cs="Arial"/>
          <w:color w:val="0070C0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Local Health District Updates/Projects requiring support of CHI</w:t>
      </w:r>
      <w:r w:rsidRPr="00F81178">
        <w:rPr>
          <w:rFonts w:cs="Arial"/>
          <w:sz w:val="24"/>
          <w:szCs w:val="24"/>
        </w:rPr>
        <w:t>-</w:t>
      </w:r>
    </w:p>
    <w:p w:rsidR="007F1CE6" w:rsidRDefault="007F1CE6" w:rsidP="007F1CE6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Group agreed that quarterly CHI meetings are important in the communication of the ACH work moving forward.  Group agreed that Community Choice/Grant Public Health District will schedule meetings for remainder of 2015 and then invite stakeholders to add these meetings to their calendars to ensure participation</w:t>
      </w:r>
    </w:p>
    <w:p w:rsidR="007F1CE6" w:rsidRDefault="007F1CE6" w:rsidP="007F1CE6">
      <w:pPr>
        <w:pStyle w:val="NoSpacing"/>
        <w:ind w:left="1080"/>
        <w:rPr>
          <w:rFonts w:cs="Arial"/>
          <w:sz w:val="24"/>
          <w:szCs w:val="24"/>
        </w:rPr>
      </w:pPr>
    </w:p>
    <w:p w:rsidR="007F1CE6" w:rsidRDefault="007F1CE6" w:rsidP="007F1CE6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Deb reported that Clinical Care workgroup will be convening soon and information will be distributed to those who have expressed interest in participating on these work</w:t>
      </w:r>
      <w:r w:rsidR="00090711">
        <w:rPr>
          <w:rFonts w:cs="Arial"/>
          <w:sz w:val="24"/>
          <w:szCs w:val="24"/>
        </w:rPr>
        <w:t xml:space="preserve">groups.  Cathy </w:t>
      </w:r>
      <w:proofErr w:type="spellStart"/>
      <w:r w:rsidR="00090711">
        <w:rPr>
          <w:rFonts w:cs="Arial"/>
          <w:sz w:val="24"/>
          <w:szCs w:val="24"/>
        </w:rPr>
        <w:t>Meuret</w:t>
      </w:r>
      <w:proofErr w:type="spellEnd"/>
      <w:r w:rsidR="00090711">
        <w:rPr>
          <w:rFonts w:cs="Arial"/>
          <w:sz w:val="24"/>
          <w:szCs w:val="24"/>
        </w:rPr>
        <w:t xml:space="preserve"> from Chelan Douglas Health District will be facilitating both workgroups.</w:t>
      </w:r>
    </w:p>
    <w:p w:rsidR="00090711" w:rsidRDefault="00090711" w:rsidP="007F1CE6">
      <w:pPr>
        <w:pStyle w:val="NoSpacing"/>
        <w:ind w:left="1080"/>
        <w:rPr>
          <w:rFonts w:cs="Arial"/>
          <w:sz w:val="24"/>
          <w:szCs w:val="24"/>
        </w:rPr>
      </w:pPr>
    </w:p>
    <w:p w:rsidR="00090711" w:rsidRDefault="00090711" w:rsidP="007F1CE6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Deb will send a link to the Health </w:t>
      </w:r>
      <w:proofErr w:type="spellStart"/>
      <w:r>
        <w:rPr>
          <w:rFonts w:cs="Arial"/>
          <w:sz w:val="24"/>
          <w:szCs w:val="24"/>
        </w:rPr>
        <w:t>Intiative</w:t>
      </w:r>
      <w:proofErr w:type="spellEnd"/>
      <w:r>
        <w:rPr>
          <w:rFonts w:cs="Arial"/>
          <w:sz w:val="24"/>
          <w:szCs w:val="24"/>
        </w:rPr>
        <w:t xml:space="preserve"> online form for stakeholders to submit information about their programs that promote health.  Stakeholders are encouraged to share the link with others who also have community health initiatives.</w:t>
      </w:r>
    </w:p>
    <w:p w:rsidR="00090711" w:rsidRPr="007F1CE6" w:rsidRDefault="00090711" w:rsidP="007F1CE6">
      <w:pPr>
        <w:pStyle w:val="NoSpacing"/>
        <w:ind w:left="1080"/>
        <w:rPr>
          <w:rFonts w:cs="Arial"/>
          <w:color w:val="0070C0"/>
          <w:sz w:val="24"/>
          <w:szCs w:val="24"/>
        </w:rPr>
      </w:pPr>
    </w:p>
    <w:p w:rsidR="00F81178" w:rsidRDefault="00F81178" w:rsidP="00F81178">
      <w:pPr>
        <w:pStyle w:val="ListParagraph"/>
        <w:numPr>
          <w:ilvl w:val="0"/>
          <w:numId w:val="5"/>
        </w:numPr>
        <w:spacing w:after="160" w:line="256" w:lineRule="auto"/>
        <w:rPr>
          <w:rFonts w:cs="Arial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Whole person health training</w:t>
      </w:r>
    </w:p>
    <w:p w:rsidR="00090711" w:rsidRDefault="00090711" w:rsidP="00090711">
      <w:pPr>
        <w:pStyle w:val="ListParagraph"/>
        <w:spacing w:after="160" w:line="256" w:lineRule="auto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Stakeholders shared about ways they support/promote health through their own practices or through work.</w:t>
      </w:r>
    </w:p>
    <w:p w:rsidR="00F81178" w:rsidRPr="00F81178" w:rsidRDefault="00F81178" w:rsidP="00F81178">
      <w:pPr>
        <w:pStyle w:val="ListParagraph"/>
        <w:spacing w:after="160" w:line="256" w:lineRule="auto"/>
        <w:ind w:left="1080"/>
        <w:rPr>
          <w:rFonts w:cs="Arial"/>
          <w:sz w:val="24"/>
          <w:szCs w:val="24"/>
        </w:rPr>
      </w:pPr>
    </w:p>
    <w:p w:rsidR="00C34415" w:rsidRPr="00090711" w:rsidRDefault="00C34415" w:rsidP="00C34415">
      <w:pPr>
        <w:jc w:val="center"/>
        <w:rPr>
          <w:b/>
          <w:sz w:val="28"/>
          <w:szCs w:val="24"/>
        </w:rPr>
      </w:pPr>
      <w:r w:rsidRPr="00090711">
        <w:rPr>
          <w:b/>
          <w:sz w:val="28"/>
          <w:szCs w:val="24"/>
        </w:rPr>
        <w:t xml:space="preserve">Meeting documents can be accessed at: </w:t>
      </w:r>
      <w:hyperlink r:id="rId6" w:history="1">
        <w:r w:rsidR="00994D25" w:rsidRPr="00090711">
          <w:rPr>
            <w:rStyle w:val="Hyperlink"/>
            <w:b/>
            <w:sz w:val="28"/>
            <w:szCs w:val="24"/>
          </w:rPr>
          <w:t>http://www.mydocvault.us/grant-coh.html</w:t>
        </w:r>
      </w:hyperlink>
      <w:r w:rsidR="00994D25" w:rsidRPr="00090711">
        <w:rPr>
          <w:b/>
          <w:sz w:val="28"/>
          <w:szCs w:val="24"/>
        </w:rPr>
        <w:t xml:space="preserve"> </w:t>
      </w:r>
    </w:p>
    <w:p w:rsidR="00C34415" w:rsidRPr="00090711" w:rsidRDefault="00C34415" w:rsidP="00C34415">
      <w:pPr>
        <w:jc w:val="center"/>
        <w:rPr>
          <w:b/>
          <w:i/>
          <w:sz w:val="28"/>
          <w:szCs w:val="24"/>
        </w:rPr>
      </w:pPr>
      <w:r w:rsidRPr="00090711">
        <w:rPr>
          <w:b/>
          <w:i/>
          <w:sz w:val="28"/>
          <w:szCs w:val="24"/>
        </w:rPr>
        <w:t>THANK YOU!</w:t>
      </w:r>
    </w:p>
    <w:p w:rsidR="007301E5" w:rsidRPr="00F81178" w:rsidRDefault="007301E5">
      <w:pPr>
        <w:jc w:val="center"/>
        <w:rPr>
          <w:b/>
          <w:i/>
          <w:sz w:val="24"/>
          <w:szCs w:val="24"/>
        </w:rPr>
      </w:pPr>
    </w:p>
    <w:p w:rsidR="000534DC" w:rsidRPr="00F81178" w:rsidRDefault="000534DC">
      <w:pPr>
        <w:jc w:val="center"/>
        <w:rPr>
          <w:b/>
          <w:i/>
          <w:sz w:val="24"/>
          <w:szCs w:val="24"/>
        </w:rPr>
      </w:pPr>
    </w:p>
    <w:p w:rsidR="000534DC" w:rsidRPr="00F81178" w:rsidRDefault="000534DC" w:rsidP="000534DC">
      <w:pPr>
        <w:rPr>
          <w:b/>
          <w:i/>
          <w:sz w:val="24"/>
          <w:szCs w:val="24"/>
        </w:rPr>
      </w:pPr>
    </w:p>
    <w:sectPr w:rsidR="000534DC" w:rsidRPr="00F81178" w:rsidSect="00AF0F0C">
      <w:pgSz w:w="12240" w:h="15840"/>
      <w:pgMar w:top="720" w:right="720" w:bottom="720" w:left="72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105B2"/>
    <w:multiLevelType w:val="hybridMultilevel"/>
    <w:tmpl w:val="3E968506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86B55"/>
    <w:multiLevelType w:val="hybridMultilevel"/>
    <w:tmpl w:val="E04C464E"/>
    <w:lvl w:ilvl="0" w:tplc="819CC55C">
      <w:start w:val="1"/>
      <w:numFmt w:val="decimal"/>
      <w:lvlText w:val="%1"/>
      <w:lvlJc w:val="left"/>
      <w:pPr>
        <w:ind w:left="1440" w:hanging="720"/>
      </w:pPr>
      <w:rPr>
        <w:rFonts w:asciiTheme="majorHAnsi" w:hAnsiTheme="majorHAnsi" w:hint="default"/>
      </w:rPr>
    </w:lvl>
    <w:lvl w:ilvl="1" w:tplc="1C82118E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643E0"/>
    <w:multiLevelType w:val="hybridMultilevel"/>
    <w:tmpl w:val="799CF8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9A04B83"/>
    <w:multiLevelType w:val="hybridMultilevel"/>
    <w:tmpl w:val="115C48E0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28187E"/>
    <w:multiLevelType w:val="hybridMultilevel"/>
    <w:tmpl w:val="A44EC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DA06558"/>
    <w:multiLevelType w:val="hybridMultilevel"/>
    <w:tmpl w:val="0ED8F3F8"/>
    <w:lvl w:ilvl="0" w:tplc="9286BF00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6D"/>
    <w:rsid w:val="00021C99"/>
    <w:rsid w:val="00036FF0"/>
    <w:rsid w:val="00037877"/>
    <w:rsid w:val="00046139"/>
    <w:rsid w:val="000534DC"/>
    <w:rsid w:val="00082C18"/>
    <w:rsid w:val="00090711"/>
    <w:rsid w:val="000A2E90"/>
    <w:rsid w:val="000E6848"/>
    <w:rsid w:val="000F511B"/>
    <w:rsid w:val="000F6CE0"/>
    <w:rsid w:val="001055CB"/>
    <w:rsid w:val="00122139"/>
    <w:rsid w:val="0014661A"/>
    <w:rsid w:val="00171EA9"/>
    <w:rsid w:val="002231DF"/>
    <w:rsid w:val="00237E8E"/>
    <w:rsid w:val="00273C2C"/>
    <w:rsid w:val="002A259B"/>
    <w:rsid w:val="002D2727"/>
    <w:rsid w:val="00301AC8"/>
    <w:rsid w:val="00356746"/>
    <w:rsid w:val="00360AF9"/>
    <w:rsid w:val="003B5A59"/>
    <w:rsid w:val="003C5355"/>
    <w:rsid w:val="003C7F57"/>
    <w:rsid w:val="003F7D99"/>
    <w:rsid w:val="0041518B"/>
    <w:rsid w:val="00463DAD"/>
    <w:rsid w:val="00482EB3"/>
    <w:rsid w:val="00495F51"/>
    <w:rsid w:val="004C3662"/>
    <w:rsid w:val="004C3F85"/>
    <w:rsid w:val="004F5A8B"/>
    <w:rsid w:val="00513495"/>
    <w:rsid w:val="00551160"/>
    <w:rsid w:val="005C7683"/>
    <w:rsid w:val="005E6F17"/>
    <w:rsid w:val="00612196"/>
    <w:rsid w:val="00647D22"/>
    <w:rsid w:val="0066381E"/>
    <w:rsid w:val="00674290"/>
    <w:rsid w:val="0069745B"/>
    <w:rsid w:val="006E15DE"/>
    <w:rsid w:val="007301E5"/>
    <w:rsid w:val="007B25F9"/>
    <w:rsid w:val="007F1CE6"/>
    <w:rsid w:val="007F7D1A"/>
    <w:rsid w:val="00817412"/>
    <w:rsid w:val="00817905"/>
    <w:rsid w:val="008A2C8E"/>
    <w:rsid w:val="009246B7"/>
    <w:rsid w:val="00946924"/>
    <w:rsid w:val="00984252"/>
    <w:rsid w:val="00991C72"/>
    <w:rsid w:val="00994D25"/>
    <w:rsid w:val="009A0CB4"/>
    <w:rsid w:val="009B76EF"/>
    <w:rsid w:val="009D4D1B"/>
    <w:rsid w:val="009F6F1C"/>
    <w:rsid w:val="00A22364"/>
    <w:rsid w:val="00A61AD5"/>
    <w:rsid w:val="00A658AF"/>
    <w:rsid w:val="00A663A0"/>
    <w:rsid w:val="00AF0F0C"/>
    <w:rsid w:val="00B0012C"/>
    <w:rsid w:val="00B059CF"/>
    <w:rsid w:val="00B13621"/>
    <w:rsid w:val="00B8130A"/>
    <w:rsid w:val="00B863AB"/>
    <w:rsid w:val="00BA421F"/>
    <w:rsid w:val="00BF6CBF"/>
    <w:rsid w:val="00C34415"/>
    <w:rsid w:val="00C3538F"/>
    <w:rsid w:val="00C508CC"/>
    <w:rsid w:val="00C715D3"/>
    <w:rsid w:val="00C87EE4"/>
    <w:rsid w:val="00DD223C"/>
    <w:rsid w:val="00DE6791"/>
    <w:rsid w:val="00E54117"/>
    <w:rsid w:val="00E62A58"/>
    <w:rsid w:val="00E703BC"/>
    <w:rsid w:val="00EB5B06"/>
    <w:rsid w:val="00ED304F"/>
    <w:rsid w:val="00EE1F6D"/>
    <w:rsid w:val="00F50E76"/>
    <w:rsid w:val="00F564D0"/>
    <w:rsid w:val="00F81178"/>
    <w:rsid w:val="00F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F701-9B45-4106-9D32-E7D7F69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4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117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docvault.us/grant-co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Deitz</dc:creator>
  <cp:lastModifiedBy>Deb</cp:lastModifiedBy>
  <cp:revision>3</cp:revision>
  <cp:lastPrinted>2015-03-19T00:04:00Z</cp:lastPrinted>
  <dcterms:created xsi:type="dcterms:W3CDTF">2015-04-22T19:38:00Z</dcterms:created>
  <dcterms:modified xsi:type="dcterms:W3CDTF">2015-04-22T19:39:00Z</dcterms:modified>
</cp:coreProperties>
</file>