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5C" w:rsidRDefault="00783B5C" w:rsidP="00783B5C">
      <w:pPr>
        <w:jc w:val="center"/>
        <w:rPr>
          <w:b/>
          <w:i/>
        </w:rPr>
      </w:pPr>
      <w:r>
        <w:rPr>
          <w:b/>
          <w:i/>
        </w:rPr>
        <w:t xml:space="preserve">Category 3:  </w:t>
      </w:r>
      <w:r w:rsidRPr="0003645E">
        <w:rPr>
          <w:b/>
          <w:i/>
        </w:rPr>
        <w:t>Engagement Strategies</w:t>
      </w:r>
    </w:p>
    <w:p w:rsidR="00783B5C" w:rsidRPr="00754996" w:rsidRDefault="00783B5C" w:rsidP="00783B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54996">
        <w:rPr>
          <w:rFonts w:asciiTheme="minorHAnsi" w:hAnsiTheme="minorHAnsi"/>
          <w:highlight w:val="yellow"/>
        </w:rPr>
        <w:t>Community Engagement Narrative</w:t>
      </w:r>
    </w:p>
    <w:p w:rsidR="00783B5C" w:rsidRPr="00FC546C" w:rsidRDefault="00783B5C" w:rsidP="00783B5C">
      <w:r w:rsidRPr="00FC546C">
        <w:rPr>
          <w:rFonts w:eastAsiaTheme="majorEastAsia"/>
          <w:b/>
          <w:color w:val="FF0000"/>
        </w:rPr>
        <w:t xml:space="preserve">Draft written by Communication work group (Deb Miller, Nancy Warner, Cathy </w:t>
      </w:r>
      <w:proofErr w:type="spellStart"/>
      <w:r w:rsidRPr="00FC546C">
        <w:rPr>
          <w:rFonts w:eastAsiaTheme="majorEastAsia"/>
          <w:b/>
          <w:color w:val="FF0000"/>
        </w:rPr>
        <w:t>Meuret</w:t>
      </w:r>
      <w:proofErr w:type="spellEnd"/>
      <w:r w:rsidRPr="00FC546C">
        <w:rPr>
          <w:rFonts w:eastAsiaTheme="majorEastAsia"/>
          <w:b/>
          <w:color w:val="FF0000"/>
        </w:rPr>
        <w:t>)</w:t>
      </w:r>
    </w:p>
    <w:p w:rsidR="00783B5C" w:rsidRDefault="00783B5C" w:rsidP="00783B5C"/>
    <w:p w:rsidR="00783B5C" w:rsidRDefault="00783B5C" w:rsidP="00783B5C">
      <w:pPr>
        <w:rPr>
          <w:rFonts w:ascii="Arial" w:hAnsi="Arial" w:cs="Arial"/>
          <w:u w:val="single"/>
        </w:rPr>
        <w:sectPr w:rsidR="00783B5C" w:rsidSect="00783B5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B5C" w:rsidRDefault="00783B5C" w:rsidP="00783B5C">
      <w:pPr>
        <w:rPr>
          <w:rFonts w:ascii="Arial" w:hAnsi="Arial" w:cs="Arial"/>
          <w:u w:val="single"/>
        </w:rPr>
      </w:pPr>
    </w:p>
    <w:p w:rsidR="00783B5C" w:rsidRDefault="00783B5C" w:rsidP="00783B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54996">
        <w:rPr>
          <w:rFonts w:asciiTheme="minorHAnsi" w:hAnsiTheme="minorHAnsi"/>
          <w:highlight w:val="yellow"/>
        </w:rPr>
        <w:t xml:space="preserve">NCACH Communication </w:t>
      </w:r>
      <w:r w:rsidR="00EB6606" w:rsidRPr="00EB6606">
        <w:rPr>
          <w:rFonts w:asciiTheme="minorHAnsi" w:hAnsiTheme="minorHAnsi"/>
          <w:b/>
          <w:highlight w:val="yellow"/>
        </w:rPr>
        <w:t xml:space="preserve">DRAFT </w:t>
      </w:r>
      <w:r w:rsidRPr="00754996">
        <w:rPr>
          <w:rFonts w:asciiTheme="minorHAnsi" w:hAnsiTheme="minorHAnsi"/>
          <w:highlight w:val="yellow"/>
        </w:rPr>
        <w:t>Plan</w:t>
      </w:r>
    </w:p>
    <w:p w:rsidR="008E3A18" w:rsidRPr="009A6616" w:rsidRDefault="008E3A18" w:rsidP="008E3A18">
      <w:pPr>
        <w:rPr>
          <w:b/>
          <w:sz w:val="28"/>
          <w:szCs w:val="28"/>
        </w:rPr>
      </w:pPr>
      <w:r w:rsidRPr="009A6616">
        <w:rPr>
          <w:b/>
          <w:sz w:val="28"/>
          <w:szCs w:val="28"/>
        </w:rPr>
        <w:t xml:space="preserve">NCACH 6 month Communication </w:t>
      </w:r>
      <w:r w:rsidR="009F590A">
        <w:rPr>
          <w:b/>
          <w:i/>
          <w:sz w:val="28"/>
          <w:szCs w:val="28"/>
        </w:rPr>
        <w:t xml:space="preserve">DRAFT </w:t>
      </w:r>
      <w:r w:rsidRPr="009A6616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: July – December, 2015</w:t>
      </w:r>
      <w:r w:rsidRPr="009A6616">
        <w:rPr>
          <w:b/>
          <w:sz w:val="28"/>
          <w:szCs w:val="28"/>
        </w:rPr>
        <w:t xml:space="preserve"> </w:t>
      </w:r>
    </w:p>
    <w:p w:rsidR="008E3A18" w:rsidRPr="00012624" w:rsidRDefault="008E3A18" w:rsidP="008E3A18">
      <w:pPr>
        <w:rPr>
          <w:sz w:val="16"/>
          <w:szCs w:val="16"/>
        </w:rPr>
      </w:pPr>
      <w:r w:rsidRPr="00012624">
        <w:rPr>
          <w:sz w:val="16"/>
          <w:szCs w:val="16"/>
        </w:rPr>
        <w:t>This is a limited, six-month plan intended to provide initial direction to communication efforts until the NCACH Governing Board and identified backbone agency assume responsibility for NCACH communications through a formal, long-term communication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3512"/>
        <w:gridCol w:w="3759"/>
        <w:gridCol w:w="3226"/>
      </w:tblGrid>
      <w:tr w:rsidR="008E3A18" w:rsidTr="008D32C9">
        <w:tc>
          <w:tcPr>
            <w:tcW w:w="14616" w:type="dxa"/>
            <w:gridSpan w:val="4"/>
          </w:tcPr>
          <w:p w:rsidR="008E3A18" w:rsidRPr="00E37203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5E7338" w:rsidRDefault="008E3A18" w:rsidP="008D32C9">
            <w:pPr>
              <w:rPr>
                <w:b/>
              </w:rPr>
            </w:pPr>
            <w:r>
              <w:rPr>
                <w:b/>
              </w:rPr>
              <w:t>6 Month Plan Objectives</w:t>
            </w:r>
            <w:r w:rsidRPr="005E7338">
              <w:rPr>
                <w:b/>
              </w:rPr>
              <w:t>:</w:t>
            </w:r>
          </w:p>
          <w:p w:rsidR="008E3A18" w:rsidRPr="00E37203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E3A18">
            <w:pPr>
              <w:pStyle w:val="ListParagraph"/>
              <w:numPr>
                <w:ilvl w:val="0"/>
                <w:numId w:val="2"/>
              </w:numPr>
              <w:ind w:left="360" w:hanging="180"/>
              <w:contextualSpacing/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Provide a clear, consistent, and audience-appropriate message for the purposes of building region</w:t>
            </w:r>
            <w:r>
              <w:rPr>
                <w:sz w:val="16"/>
                <w:szCs w:val="16"/>
              </w:rPr>
              <w:t>-wide</w:t>
            </w:r>
            <w:r w:rsidRPr="00012624">
              <w:rPr>
                <w:sz w:val="16"/>
                <w:szCs w:val="16"/>
              </w:rPr>
              <w:t xml:space="preserve"> community and other sector awareness and engagement, building NCACH recognition, and recruiting participants for multiple NCACH teams and workgroups. </w:t>
            </w:r>
          </w:p>
          <w:p w:rsidR="008E3A18" w:rsidRPr="00012624" w:rsidRDefault="008E3A18" w:rsidP="008D32C9">
            <w:pPr>
              <w:ind w:left="360" w:hanging="180"/>
              <w:rPr>
                <w:sz w:val="16"/>
                <w:szCs w:val="16"/>
              </w:rPr>
            </w:pPr>
          </w:p>
          <w:p w:rsidR="008E3A18" w:rsidRPr="00012624" w:rsidRDefault="008E3A18" w:rsidP="008E3A18">
            <w:pPr>
              <w:pStyle w:val="ListParagraph"/>
              <w:numPr>
                <w:ilvl w:val="0"/>
                <w:numId w:val="2"/>
              </w:numPr>
              <w:ind w:left="360" w:hanging="180"/>
              <w:contextualSpacing/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Through audience communications, obtain feedback on concerns, suggestions, and ideas for NCACH.  </w:t>
            </w:r>
          </w:p>
          <w:p w:rsidR="008E3A18" w:rsidRPr="00E37203" w:rsidRDefault="008E3A18" w:rsidP="008D32C9">
            <w:pPr>
              <w:rPr>
                <w:b/>
                <w:sz w:val="16"/>
                <w:szCs w:val="16"/>
              </w:rPr>
            </w:pPr>
          </w:p>
        </w:tc>
      </w:tr>
      <w:tr w:rsidR="008E3A18" w:rsidTr="008D32C9">
        <w:tc>
          <w:tcPr>
            <w:tcW w:w="2718" w:type="dxa"/>
            <w:shd w:val="clear" w:color="auto" w:fill="ACB9CA" w:themeFill="text2" w:themeFillTint="66"/>
          </w:tcPr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960" w:type="dxa"/>
            <w:shd w:val="clear" w:color="auto" w:fill="ACB9CA" w:themeFill="text2" w:themeFillTint="66"/>
          </w:tcPr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4320" w:type="dxa"/>
            <w:shd w:val="clear" w:color="auto" w:fill="ACB9CA" w:themeFill="text2" w:themeFillTint="66"/>
          </w:tcPr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618" w:type="dxa"/>
            <w:shd w:val="clear" w:color="auto" w:fill="ACB9CA" w:themeFill="text2" w:themeFillTint="66"/>
          </w:tcPr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 xml:space="preserve">Governing Board </w:t>
            </w:r>
          </w:p>
        </w:tc>
      </w:tr>
      <w:tr w:rsidR="008E3A18" w:rsidRPr="00012624" w:rsidTr="008D32C9">
        <w:tc>
          <w:tcPr>
            <w:tcW w:w="2718" w:type="dxa"/>
          </w:tcPr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Identify and prioritize the criticality of potential audiences, both by audience type (such as a service group or provider group) and by specific businesses and organizations. </w:t>
            </w:r>
          </w:p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Critical and important audiences are identified for presentation prioritization.</w:t>
            </w:r>
          </w:p>
        </w:tc>
        <w:tc>
          <w:tcPr>
            <w:tcW w:w="432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Create a list of all audience types, differentiating critical, important, and NA audiences.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Identify content depth or content specialty based on audience type.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2624">
              <w:rPr>
                <w:sz w:val="16"/>
                <w:szCs w:val="16"/>
              </w:rPr>
              <w:t>udience prioritization</w:t>
            </w:r>
            <w:r>
              <w:rPr>
                <w:sz w:val="16"/>
                <w:szCs w:val="16"/>
              </w:rPr>
              <w:t xml:space="preserve"> approval</w:t>
            </w:r>
            <w:r w:rsidRPr="00012624">
              <w:rPr>
                <w:sz w:val="16"/>
                <w:szCs w:val="16"/>
              </w:rPr>
              <w:t xml:space="preserve">. </w:t>
            </w:r>
          </w:p>
        </w:tc>
      </w:tr>
      <w:tr w:rsidR="008E3A18" w:rsidRPr="00012624" w:rsidTr="008D32C9">
        <w:trPr>
          <w:trHeight w:val="2933"/>
        </w:trPr>
        <w:tc>
          <w:tcPr>
            <w:tcW w:w="2718" w:type="dxa"/>
          </w:tcPr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Develop effective communication messages and message delivery systems targeting the information needs of different audience types and organizations. </w:t>
            </w:r>
          </w:p>
        </w:tc>
        <w:tc>
          <w:tcPr>
            <w:tcW w:w="396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Presentations incorporate key adult learning principles, evidence-based delivery recommendations, and cultural considerations. 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Messages will be built around learner-based objectives (e.g., inform, engage, motivate, maintain). 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Create scripted presentations </w:t>
            </w:r>
            <w:proofErr w:type="gramStart"/>
            <w:r w:rsidRPr="00012624">
              <w:rPr>
                <w:sz w:val="16"/>
                <w:szCs w:val="16"/>
              </w:rPr>
              <w:t>and  printed</w:t>
            </w:r>
            <w:proofErr w:type="gramEnd"/>
            <w:r w:rsidRPr="00012624">
              <w:rPr>
                <w:sz w:val="16"/>
                <w:szCs w:val="16"/>
              </w:rPr>
              <w:t xml:space="preserve"> messages applicable to targeted audiences.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Create English and Spanish-language print materials.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Develop multiple messaging formats (face-to-face presentations, print materials, webpages, online newsletters, email marketing).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Presentation content approval.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Printed message and materials approval.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Webpage development</w:t>
            </w:r>
            <w:r>
              <w:rPr>
                <w:sz w:val="16"/>
                <w:szCs w:val="16"/>
              </w:rPr>
              <w:t xml:space="preserve"> and approval</w:t>
            </w:r>
            <w:r w:rsidRPr="00012624">
              <w:rPr>
                <w:sz w:val="16"/>
                <w:szCs w:val="16"/>
              </w:rPr>
              <w:t>.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Provide face-to-face presentations to target audiences. </w:t>
            </w:r>
          </w:p>
        </w:tc>
      </w:tr>
      <w:tr w:rsidR="008E3A18" w:rsidRPr="00012624" w:rsidTr="008D32C9">
        <w:tc>
          <w:tcPr>
            <w:tcW w:w="2718" w:type="dxa"/>
          </w:tcPr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lastRenderedPageBreak/>
              <w:t>Prioritize message delivery; schedule and deliver presentations.</w:t>
            </w:r>
          </w:p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lastRenderedPageBreak/>
              <w:t xml:space="preserve">Audiences identified as “critical” receive the presentation by 12/2015.  </w:t>
            </w:r>
          </w:p>
        </w:tc>
        <w:tc>
          <w:tcPr>
            <w:tcW w:w="4320" w:type="dxa"/>
          </w:tcPr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Request</w:t>
            </w:r>
            <w:r w:rsidRPr="00012624">
              <w:rPr>
                <w:sz w:val="16"/>
                <w:szCs w:val="16"/>
              </w:rPr>
              <w:t xml:space="preserve"> invitations to connect with critical target audiences; offer presentations to non-critical audiences.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Develop an electronic </w:t>
            </w:r>
            <w:r>
              <w:rPr>
                <w:sz w:val="16"/>
                <w:szCs w:val="16"/>
              </w:rPr>
              <w:t xml:space="preserve">calendar of </w:t>
            </w:r>
            <w:r w:rsidRPr="00012624">
              <w:rPr>
                <w:sz w:val="16"/>
                <w:szCs w:val="16"/>
              </w:rPr>
              <w:t>outreach presentation</w:t>
            </w:r>
            <w:r>
              <w:rPr>
                <w:sz w:val="16"/>
                <w:szCs w:val="16"/>
              </w:rPr>
              <w:t>s.</w:t>
            </w:r>
            <w:r w:rsidRPr="00012624">
              <w:rPr>
                <w:sz w:val="16"/>
                <w:szCs w:val="16"/>
              </w:rPr>
              <w:t xml:space="preserve">  </w:t>
            </w:r>
          </w:p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</w:tc>
        <w:tc>
          <w:tcPr>
            <w:tcW w:w="3618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lastRenderedPageBreak/>
              <w:t xml:space="preserve">Appropriate presenters available for scheduled events.  </w:t>
            </w:r>
          </w:p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</w:tc>
      </w:tr>
      <w:tr w:rsidR="008E3A18" w:rsidRPr="00012624" w:rsidTr="008D32C9">
        <w:tc>
          <w:tcPr>
            <w:tcW w:w="2718" w:type="dxa"/>
          </w:tcPr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Monitor and review communication effectiveness, gathering input from community members and organizations. </w:t>
            </w:r>
          </w:p>
        </w:tc>
        <w:tc>
          <w:tcPr>
            <w:tcW w:w="396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Participants understand information presented - can recall key messages. 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Participants provide feedback and suggestions and report timely response. 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Participants report information as timely.</w:t>
            </w:r>
          </w:p>
        </w:tc>
        <w:tc>
          <w:tcPr>
            <w:tcW w:w="4320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Record input during and immediately following presentations.</w:t>
            </w: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>Follow-up survey of representative participants.</w:t>
            </w:r>
          </w:p>
        </w:tc>
        <w:tc>
          <w:tcPr>
            <w:tcW w:w="3618" w:type="dxa"/>
          </w:tcPr>
          <w:p w:rsidR="008E3A18" w:rsidRPr="00012624" w:rsidRDefault="008E3A18" w:rsidP="008D32C9">
            <w:pPr>
              <w:rPr>
                <w:b/>
                <w:sz w:val="16"/>
                <w:szCs w:val="16"/>
              </w:rPr>
            </w:pPr>
          </w:p>
          <w:p w:rsidR="008E3A18" w:rsidRPr="00012624" w:rsidRDefault="008E3A18" w:rsidP="008D32C9">
            <w:pPr>
              <w:rPr>
                <w:sz w:val="16"/>
                <w:szCs w:val="16"/>
              </w:rPr>
            </w:pPr>
            <w:r w:rsidRPr="00012624">
              <w:rPr>
                <w:sz w:val="16"/>
                <w:szCs w:val="16"/>
              </w:rPr>
              <w:t xml:space="preserve">Approve mechanism </w:t>
            </w:r>
            <w:r>
              <w:rPr>
                <w:sz w:val="16"/>
                <w:szCs w:val="16"/>
              </w:rPr>
              <w:t xml:space="preserve">(e.g., NCACH-specific email address) </w:t>
            </w:r>
            <w:r w:rsidRPr="00012624">
              <w:rPr>
                <w:sz w:val="16"/>
                <w:szCs w:val="16"/>
              </w:rPr>
              <w:t xml:space="preserve">for participant feedback delivery and acknowledgement (currently Barry Kling’s email via ACH webpage or Community Choice email via </w:t>
            </w:r>
            <w:proofErr w:type="spellStart"/>
            <w:r w:rsidRPr="00012624">
              <w:rPr>
                <w:sz w:val="16"/>
                <w:szCs w:val="16"/>
              </w:rPr>
              <w:t>MyDocVault</w:t>
            </w:r>
            <w:proofErr w:type="spellEnd"/>
            <w:r w:rsidRPr="00012624">
              <w:rPr>
                <w:sz w:val="16"/>
                <w:szCs w:val="16"/>
              </w:rPr>
              <w:t xml:space="preserve"> webpage).  </w:t>
            </w:r>
          </w:p>
        </w:tc>
      </w:tr>
    </w:tbl>
    <w:p w:rsidR="00783B5C" w:rsidRDefault="00783B5C" w:rsidP="00783B5C">
      <w:pPr>
        <w:rPr>
          <w:b/>
        </w:rPr>
      </w:pPr>
    </w:p>
    <w:p w:rsidR="008E3A18" w:rsidRDefault="008E3A18" w:rsidP="008E3A18">
      <w:pPr>
        <w:ind w:firstLine="360"/>
        <w:rPr>
          <w:b/>
          <w:sz w:val="32"/>
          <w:szCs w:val="32"/>
        </w:rPr>
      </w:pPr>
    </w:p>
    <w:p w:rsidR="008E3A18" w:rsidRPr="009743C4" w:rsidRDefault="008E3A18" w:rsidP="008E3A18">
      <w:pPr>
        <w:ind w:firstLine="360"/>
        <w:rPr>
          <w:b/>
          <w:sz w:val="32"/>
          <w:szCs w:val="32"/>
        </w:rPr>
      </w:pPr>
      <w:r w:rsidRPr="009743C4">
        <w:rPr>
          <w:b/>
          <w:sz w:val="32"/>
          <w:szCs w:val="32"/>
        </w:rPr>
        <w:t xml:space="preserve">NCACH 6 Month Communication </w:t>
      </w:r>
      <w:r w:rsidR="009F590A">
        <w:rPr>
          <w:b/>
          <w:i/>
          <w:sz w:val="28"/>
          <w:szCs w:val="28"/>
        </w:rPr>
        <w:t>DRAFT</w:t>
      </w:r>
      <w:r w:rsidR="009F590A">
        <w:rPr>
          <w:b/>
          <w:i/>
          <w:sz w:val="28"/>
          <w:szCs w:val="28"/>
        </w:rPr>
        <w:t xml:space="preserve"> </w:t>
      </w:r>
      <w:r w:rsidRPr="009743C4">
        <w:rPr>
          <w:b/>
          <w:sz w:val="32"/>
          <w:szCs w:val="32"/>
        </w:rPr>
        <w:t>Plan: Target Audience Identification and Prioritization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0"/>
        <w:gridCol w:w="958"/>
        <w:gridCol w:w="1130"/>
        <w:gridCol w:w="894"/>
        <w:gridCol w:w="1479"/>
        <w:gridCol w:w="1739"/>
      </w:tblGrid>
      <w:tr w:rsidR="008E3A18" w:rsidTr="008E3A18">
        <w:trPr>
          <w:trHeight w:val="449"/>
        </w:trPr>
        <w:tc>
          <w:tcPr>
            <w:tcW w:w="2613" w:type="pct"/>
            <w:shd w:val="clear" w:color="auto" w:fill="ACB9CA" w:themeFill="text2" w:themeFillTint="66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shd w:val="clear" w:color="auto" w:fill="ACB9CA" w:themeFill="text2" w:themeFillTint="66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Importance of Communication </w:t>
            </w:r>
          </w:p>
        </w:tc>
        <w:tc>
          <w:tcPr>
            <w:tcW w:w="578" w:type="pct"/>
            <w:shd w:val="clear" w:color="auto" w:fill="ACB9CA" w:themeFill="text2" w:themeFillTint="66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Timeline Priority </w:t>
            </w:r>
          </w:p>
        </w:tc>
        <w:tc>
          <w:tcPr>
            <w:tcW w:w="678" w:type="pct"/>
            <w:shd w:val="clear" w:color="auto" w:fill="ACB9CA" w:themeFill="text2" w:themeFillTint="66"/>
            <w:vAlign w:val="center"/>
          </w:tcPr>
          <w:p w:rsidR="008E3A18" w:rsidRDefault="008E3A18" w:rsidP="008D3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Level*</w:t>
            </w:r>
          </w:p>
        </w:tc>
      </w:tr>
      <w:tr w:rsidR="008E3A18" w:rsidTr="008E3A18">
        <w:trPr>
          <w:trHeight w:val="692"/>
        </w:trPr>
        <w:tc>
          <w:tcPr>
            <w:tcW w:w="2613" w:type="pct"/>
            <w:shd w:val="clear" w:color="auto" w:fill="DEEAF6" w:themeFill="accent1" w:themeFillTint="33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77" w:type="pct"/>
            <w:shd w:val="clear" w:color="auto" w:fill="DEEAF6" w:themeFill="accent1" w:themeFillTint="33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02" w:type="pct"/>
            <w:shd w:val="clear" w:color="auto" w:fill="DEEAF6" w:themeFill="accent1" w:themeFillTint="33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8E3A18" w:rsidRPr="00611C03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</w:tc>
        <w:tc>
          <w:tcPr>
            <w:tcW w:w="578" w:type="pct"/>
            <w:shd w:val="clear" w:color="auto" w:fill="DEEAF6" w:themeFill="accent1" w:themeFillTint="33"/>
            <w:vAlign w:val="center"/>
          </w:tcPr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1 = First Priority</w:t>
            </w:r>
          </w:p>
          <w:p w:rsidR="008E3A18" w:rsidRPr="00611C03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 xml:space="preserve"> 3 = Lowest Priority </w:t>
            </w:r>
          </w:p>
        </w:tc>
        <w:tc>
          <w:tcPr>
            <w:tcW w:w="678" w:type="pct"/>
            <w:shd w:val="clear" w:color="auto" w:fill="DEEAF6" w:themeFill="accent1" w:themeFillTint="33"/>
            <w:vAlign w:val="center"/>
          </w:tcPr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>1 = Most Detail</w:t>
            </w:r>
          </w:p>
          <w:p w:rsidR="008E3A18" w:rsidRDefault="008E3A18" w:rsidP="008D32C9">
            <w:pPr>
              <w:jc w:val="center"/>
              <w:rPr>
                <w:b/>
              </w:rPr>
            </w:pPr>
            <w:r>
              <w:rPr>
                <w:b/>
              </w:rPr>
              <w:t xml:space="preserve">3 = Least Detail 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t xml:space="preserve">NCACH Governing Board 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1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1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t>WA State Partners (e.g., HCA, DOH)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t>NCACH Regional Council/Regional Workgroup Members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t>Risk-Bearing Entities (e.g., MCOs, ACOs, Health Plans)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678" w:type="pct"/>
            <w:vAlign w:val="center"/>
          </w:tcPr>
          <w:p w:rsidR="008E3A1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lastRenderedPageBreak/>
              <w:t>Government Officials / Policy Makers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1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t>Reporters, Editors, and Media Outlets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270261" w:rsidRDefault="008E3A18" w:rsidP="008D32C9">
            <w:pPr>
              <w:jc w:val="center"/>
              <w:rPr>
                <w:b/>
                <w:color w:val="FF0000"/>
              </w:rPr>
            </w:pPr>
            <w:r w:rsidRPr="00270261">
              <w:rPr>
                <w:b/>
                <w:color w:val="FF0000"/>
              </w:rPr>
              <w:t>1</w:t>
            </w:r>
          </w:p>
        </w:tc>
        <w:tc>
          <w:tcPr>
            <w:tcW w:w="678" w:type="pct"/>
            <w:vAlign w:val="center"/>
          </w:tcPr>
          <w:p w:rsidR="008E3A18" w:rsidRPr="00270261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03"/>
        </w:trPr>
        <w:tc>
          <w:tcPr>
            <w:tcW w:w="2613" w:type="pct"/>
            <w:vAlign w:val="center"/>
          </w:tcPr>
          <w:p w:rsidR="008E3A18" w:rsidRDefault="008E3A18" w:rsidP="008D32C9">
            <w:r>
              <w:t xml:space="preserve">NCACH CHI Members 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Default="008E3A18" w:rsidP="008D32C9">
            <w:r>
              <w:t>Colville Business Council (Tribal Council)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Default="008E3A18" w:rsidP="008D32C9">
            <w:r>
              <w:t>Regional Networking Groups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30"/>
        </w:trPr>
        <w:tc>
          <w:tcPr>
            <w:tcW w:w="2613" w:type="pct"/>
            <w:vAlign w:val="center"/>
          </w:tcPr>
          <w:p w:rsidR="008E3A18" w:rsidRDefault="008E3A18" w:rsidP="008D32C9">
            <w:r>
              <w:t>Medical/Behavioral/Dental Providers and Healthcare Systems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color w:val="FF0000"/>
              </w:rPr>
            </w:pPr>
            <w:r w:rsidRPr="00DC7E3A">
              <w:rPr>
                <w:color w:val="FF0000"/>
              </w:rPr>
              <w:t>2</w:t>
            </w:r>
          </w:p>
        </w:tc>
      </w:tr>
      <w:tr w:rsidR="008E3A18" w:rsidTr="008E3A18">
        <w:trPr>
          <w:trHeight w:val="530"/>
        </w:trPr>
        <w:tc>
          <w:tcPr>
            <w:tcW w:w="2613" w:type="pct"/>
            <w:vAlign w:val="center"/>
          </w:tcPr>
          <w:p w:rsidR="008E3A18" w:rsidRDefault="008E3A18" w:rsidP="008D32C9">
            <w:r>
              <w:t>Public Health Entities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 w:rsidRPr="00DC7E3A"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30"/>
        </w:trPr>
        <w:tc>
          <w:tcPr>
            <w:tcW w:w="2613" w:type="pct"/>
            <w:vAlign w:val="center"/>
          </w:tcPr>
          <w:p w:rsidR="008E3A18" w:rsidRPr="007B38EB" w:rsidRDefault="008E3A18" w:rsidP="008D32C9">
            <w:pPr>
              <w:rPr>
                <w:i/>
              </w:rPr>
            </w:pPr>
            <w:r>
              <w:t>Community Organizations (e.g., nonprofit agencies, service clubs, community foundations)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578" w:type="pct"/>
            <w:vAlign w:val="center"/>
          </w:tcPr>
          <w:p w:rsidR="008E3A18" w:rsidRPr="00270261" w:rsidRDefault="008E3A18" w:rsidP="008D32C9">
            <w:pPr>
              <w:jc w:val="center"/>
              <w:rPr>
                <w:b/>
                <w:color w:val="FF0000"/>
              </w:rPr>
            </w:pPr>
            <w:r w:rsidRPr="00270261"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270261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21"/>
        </w:trPr>
        <w:tc>
          <w:tcPr>
            <w:tcW w:w="2613" w:type="pct"/>
            <w:vAlign w:val="center"/>
          </w:tcPr>
          <w:p w:rsidR="008E3A18" w:rsidRDefault="008E3A18" w:rsidP="008D32C9">
            <w:r>
              <w:t xml:space="preserve">Organizations or individuals that oppose NCACH work. 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352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E3A18" w:rsidTr="008E3A18">
        <w:trPr>
          <w:trHeight w:val="566"/>
        </w:trPr>
        <w:tc>
          <w:tcPr>
            <w:tcW w:w="2613" w:type="pct"/>
            <w:vAlign w:val="center"/>
          </w:tcPr>
          <w:p w:rsidR="008E3A18" w:rsidRDefault="008E3A18" w:rsidP="008D32C9">
            <w:r>
              <w:t>Health Improvement Coalitions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35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578" w:type="pct"/>
            <w:vAlign w:val="center"/>
          </w:tcPr>
          <w:p w:rsidR="008E3A18" w:rsidRPr="00DC7E3A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DC7E3A" w:rsidRDefault="008E3A18" w:rsidP="008D32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8E3A18" w:rsidTr="008E3A18">
        <w:trPr>
          <w:trHeight w:val="521"/>
        </w:trPr>
        <w:tc>
          <w:tcPr>
            <w:tcW w:w="2613" w:type="pct"/>
            <w:vAlign w:val="center"/>
          </w:tcPr>
          <w:p w:rsidR="008E3A18" w:rsidRDefault="008E3A18" w:rsidP="008D32C9">
            <w:r>
              <w:t>Businesses/Chambers of Commerce/Downtown Associations/Ports</w:t>
            </w:r>
          </w:p>
        </w:tc>
        <w:tc>
          <w:tcPr>
            <w:tcW w:w="377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  <w:r w:rsidRPr="00DC7E3A">
              <w:rPr>
                <w:b/>
                <w:color w:val="FF0000"/>
              </w:rPr>
              <w:t>X</w:t>
            </w:r>
          </w:p>
        </w:tc>
        <w:tc>
          <w:tcPr>
            <w:tcW w:w="352" w:type="pct"/>
            <w:vAlign w:val="center"/>
          </w:tcPr>
          <w:p w:rsidR="008E3A18" w:rsidRPr="007B38EB" w:rsidRDefault="008E3A18" w:rsidP="008D32C9">
            <w:pPr>
              <w:jc w:val="center"/>
              <w:rPr>
                <w:b/>
              </w:rPr>
            </w:pPr>
          </w:p>
        </w:tc>
        <w:tc>
          <w:tcPr>
            <w:tcW w:w="578" w:type="pct"/>
            <w:vAlign w:val="center"/>
          </w:tcPr>
          <w:p w:rsidR="008E3A18" w:rsidRPr="00270261" w:rsidRDefault="008E3A18" w:rsidP="008D32C9">
            <w:pPr>
              <w:jc w:val="center"/>
              <w:rPr>
                <w:b/>
                <w:color w:val="FF0000"/>
              </w:rPr>
            </w:pPr>
            <w:r w:rsidRPr="00270261"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270261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Default="008E3A18" w:rsidP="008D32C9">
            <w:r>
              <w:t>Social Service Agencies</w:t>
            </w:r>
          </w:p>
        </w:tc>
        <w:tc>
          <w:tcPr>
            <w:tcW w:w="377" w:type="pct"/>
          </w:tcPr>
          <w:p w:rsidR="008E3A18" w:rsidRDefault="008E3A18" w:rsidP="008D32C9"/>
        </w:tc>
        <w:tc>
          <w:tcPr>
            <w:tcW w:w="402" w:type="pct"/>
            <w:vAlign w:val="center"/>
          </w:tcPr>
          <w:p w:rsidR="008E3A18" w:rsidRDefault="008E3A18" w:rsidP="008D32C9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352" w:type="pct"/>
          </w:tcPr>
          <w:p w:rsidR="008E3A18" w:rsidRDefault="008E3A18" w:rsidP="008D32C9"/>
        </w:tc>
        <w:tc>
          <w:tcPr>
            <w:tcW w:w="5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6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Default="008E3A18" w:rsidP="008D32C9">
            <w:r>
              <w:t xml:space="preserve">Faith Organizations </w:t>
            </w:r>
          </w:p>
        </w:tc>
        <w:tc>
          <w:tcPr>
            <w:tcW w:w="377" w:type="pct"/>
            <w:vAlign w:val="center"/>
          </w:tcPr>
          <w:p w:rsidR="008E3A18" w:rsidRDefault="008E3A18" w:rsidP="008D32C9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402" w:type="pct"/>
            <w:vAlign w:val="center"/>
          </w:tcPr>
          <w:p w:rsidR="008E3A18" w:rsidRDefault="008E3A18" w:rsidP="008D32C9">
            <w:pPr>
              <w:jc w:val="center"/>
            </w:pPr>
          </w:p>
        </w:tc>
        <w:tc>
          <w:tcPr>
            <w:tcW w:w="352" w:type="pct"/>
          </w:tcPr>
          <w:p w:rsidR="008E3A18" w:rsidRDefault="008E3A18" w:rsidP="008D32C9"/>
        </w:tc>
        <w:tc>
          <w:tcPr>
            <w:tcW w:w="5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Default="008E3A18" w:rsidP="008D32C9">
            <w:r>
              <w:t>Food Systems</w:t>
            </w:r>
          </w:p>
        </w:tc>
        <w:tc>
          <w:tcPr>
            <w:tcW w:w="377" w:type="pct"/>
            <w:vAlign w:val="center"/>
          </w:tcPr>
          <w:p w:rsidR="008E3A18" w:rsidRDefault="008E3A18" w:rsidP="008D32C9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402" w:type="pct"/>
            <w:vAlign w:val="center"/>
          </w:tcPr>
          <w:p w:rsidR="008E3A18" w:rsidRDefault="008E3A18" w:rsidP="008D32C9">
            <w:pPr>
              <w:jc w:val="center"/>
            </w:pPr>
          </w:p>
        </w:tc>
        <w:tc>
          <w:tcPr>
            <w:tcW w:w="352" w:type="pct"/>
          </w:tcPr>
          <w:p w:rsidR="008E3A18" w:rsidRDefault="008E3A18" w:rsidP="008D32C9"/>
        </w:tc>
        <w:tc>
          <w:tcPr>
            <w:tcW w:w="5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Default="008E3A18" w:rsidP="008D32C9">
            <w:r>
              <w:t>Transportation Agencies</w:t>
            </w:r>
          </w:p>
        </w:tc>
        <w:tc>
          <w:tcPr>
            <w:tcW w:w="377" w:type="pct"/>
            <w:vAlign w:val="center"/>
          </w:tcPr>
          <w:p w:rsidR="008E3A18" w:rsidRDefault="008E3A18" w:rsidP="008D32C9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402" w:type="pct"/>
            <w:vAlign w:val="center"/>
          </w:tcPr>
          <w:p w:rsidR="008E3A18" w:rsidRDefault="008E3A18" w:rsidP="008D32C9">
            <w:pPr>
              <w:jc w:val="center"/>
            </w:pPr>
          </w:p>
        </w:tc>
        <w:tc>
          <w:tcPr>
            <w:tcW w:w="352" w:type="pct"/>
          </w:tcPr>
          <w:p w:rsidR="008E3A18" w:rsidRDefault="008E3A18" w:rsidP="008D32C9"/>
        </w:tc>
        <w:tc>
          <w:tcPr>
            <w:tcW w:w="5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E3A18" w:rsidTr="008E3A18">
        <w:trPr>
          <w:trHeight w:val="539"/>
        </w:trPr>
        <w:tc>
          <w:tcPr>
            <w:tcW w:w="2613" w:type="pct"/>
            <w:vAlign w:val="center"/>
          </w:tcPr>
          <w:p w:rsidR="008E3A18" w:rsidRPr="00483CE0" w:rsidRDefault="008E3A18" w:rsidP="008D32C9">
            <w:pPr>
              <w:rPr>
                <w:sz w:val="16"/>
                <w:szCs w:val="16"/>
              </w:rPr>
            </w:pPr>
            <w:r>
              <w:lastRenderedPageBreak/>
              <w:t>Housing Service Agencies</w:t>
            </w:r>
          </w:p>
        </w:tc>
        <w:tc>
          <w:tcPr>
            <w:tcW w:w="377" w:type="pct"/>
            <w:vAlign w:val="center"/>
          </w:tcPr>
          <w:p w:rsidR="008E3A18" w:rsidRDefault="008E3A18" w:rsidP="008D32C9">
            <w:pPr>
              <w:jc w:val="center"/>
            </w:pPr>
            <w:r w:rsidRPr="00A84809">
              <w:rPr>
                <w:b/>
                <w:color w:val="FF0000"/>
              </w:rPr>
              <w:t>X</w:t>
            </w:r>
          </w:p>
        </w:tc>
        <w:tc>
          <w:tcPr>
            <w:tcW w:w="402" w:type="pct"/>
            <w:vAlign w:val="center"/>
          </w:tcPr>
          <w:p w:rsidR="008E3A18" w:rsidRDefault="008E3A18" w:rsidP="008D32C9">
            <w:pPr>
              <w:jc w:val="center"/>
            </w:pPr>
          </w:p>
        </w:tc>
        <w:tc>
          <w:tcPr>
            <w:tcW w:w="352" w:type="pct"/>
          </w:tcPr>
          <w:p w:rsidR="008E3A18" w:rsidRDefault="008E3A18" w:rsidP="008D32C9"/>
        </w:tc>
        <w:tc>
          <w:tcPr>
            <w:tcW w:w="5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 w:rsidRPr="008D49A8">
              <w:rPr>
                <w:b/>
                <w:color w:val="FF0000"/>
              </w:rPr>
              <w:t>3</w:t>
            </w:r>
          </w:p>
        </w:tc>
        <w:tc>
          <w:tcPr>
            <w:tcW w:w="678" w:type="pct"/>
            <w:vAlign w:val="center"/>
          </w:tcPr>
          <w:p w:rsidR="008E3A18" w:rsidRPr="008D49A8" w:rsidRDefault="008E3A18" w:rsidP="008D32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8E3A18" w:rsidRPr="00611C03" w:rsidRDefault="008E3A18" w:rsidP="008E3A18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*Content Level Key: </w:t>
      </w:r>
      <w:r w:rsidRPr="00611C03">
        <w:rPr>
          <w:sz w:val="18"/>
          <w:szCs w:val="18"/>
        </w:rPr>
        <w:t xml:space="preserve">Level 1:   Communications target </w:t>
      </w:r>
      <w:r>
        <w:rPr>
          <w:sz w:val="18"/>
          <w:szCs w:val="18"/>
        </w:rPr>
        <w:t>highly-</w:t>
      </w:r>
      <w:r w:rsidRPr="00611C03">
        <w:rPr>
          <w:sz w:val="18"/>
          <w:szCs w:val="18"/>
        </w:rPr>
        <w:t>speciali</w:t>
      </w:r>
      <w:r>
        <w:rPr>
          <w:sz w:val="18"/>
          <w:szCs w:val="18"/>
        </w:rPr>
        <w:t>zed audience needs (e.g., detailed data</w:t>
      </w:r>
      <w:r>
        <w:rPr>
          <w:sz w:val="18"/>
          <w:szCs w:val="18"/>
        </w:rPr>
        <w:t xml:space="preserve">, financial data, </w:t>
      </w:r>
      <w:proofErr w:type="gramStart"/>
      <w:r>
        <w:rPr>
          <w:sz w:val="18"/>
          <w:szCs w:val="18"/>
        </w:rPr>
        <w:t>required</w:t>
      </w:r>
      <w:proofErr w:type="gramEnd"/>
      <w:r>
        <w:rPr>
          <w:sz w:val="18"/>
          <w:szCs w:val="18"/>
        </w:rPr>
        <w:t xml:space="preserve"> reports).  </w:t>
      </w:r>
    </w:p>
    <w:p w:rsidR="008E3A18" w:rsidRPr="00611C03" w:rsidRDefault="008E3A18" w:rsidP="008E3A18">
      <w:pPr>
        <w:spacing w:after="0" w:line="240" w:lineRule="auto"/>
        <w:ind w:left="288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11C03">
        <w:rPr>
          <w:sz w:val="18"/>
          <w:szCs w:val="18"/>
        </w:rPr>
        <w:t xml:space="preserve">Level 2:   Communications target </w:t>
      </w:r>
      <w:r>
        <w:rPr>
          <w:sz w:val="18"/>
          <w:szCs w:val="18"/>
        </w:rPr>
        <w:t>partners</w:t>
      </w:r>
      <w:r w:rsidRPr="00611C03">
        <w:rPr>
          <w:sz w:val="18"/>
          <w:szCs w:val="18"/>
        </w:rPr>
        <w:t xml:space="preserve"> who will be involved at some level in </w:t>
      </w:r>
      <w:r>
        <w:rPr>
          <w:sz w:val="18"/>
          <w:szCs w:val="18"/>
        </w:rPr>
        <w:t>NC</w:t>
      </w:r>
      <w:r w:rsidRPr="00611C03">
        <w:rPr>
          <w:sz w:val="18"/>
          <w:szCs w:val="18"/>
        </w:rPr>
        <w:t xml:space="preserve">ACH efforts and outcomes. </w:t>
      </w:r>
      <w:r>
        <w:rPr>
          <w:sz w:val="18"/>
          <w:szCs w:val="18"/>
        </w:rPr>
        <w:t xml:space="preserve">Content </w:t>
      </w:r>
      <w:r w:rsidRPr="00611C03">
        <w:rPr>
          <w:sz w:val="18"/>
          <w:szCs w:val="18"/>
        </w:rPr>
        <w:t xml:space="preserve">depth and detail </w:t>
      </w:r>
      <w:r>
        <w:rPr>
          <w:sz w:val="18"/>
          <w:szCs w:val="18"/>
        </w:rPr>
        <w:t>is m</w:t>
      </w:r>
      <w:r w:rsidRPr="00611C03">
        <w:rPr>
          <w:sz w:val="18"/>
          <w:szCs w:val="18"/>
        </w:rPr>
        <w:t>odif</w:t>
      </w:r>
      <w:r>
        <w:rPr>
          <w:sz w:val="18"/>
          <w:szCs w:val="18"/>
        </w:rPr>
        <w:t xml:space="preserve">ied </w:t>
      </w:r>
      <w:r w:rsidRPr="00611C03">
        <w:rPr>
          <w:sz w:val="18"/>
          <w:szCs w:val="18"/>
        </w:rPr>
        <w:t>to meet for the specific audience</w:t>
      </w:r>
      <w:r>
        <w:rPr>
          <w:sz w:val="18"/>
          <w:szCs w:val="18"/>
        </w:rPr>
        <w:t xml:space="preserve"> (e.g., c</w:t>
      </w:r>
      <w:r w:rsidRPr="00611C03">
        <w:rPr>
          <w:sz w:val="18"/>
          <w:szCs w:val="18"/>
        </w:rPr>
        <w:t xml:space="preserve">urrent plans, projects, timelines, assignments, </w:t>
      </w:r>
      <w:r>
        <w:rPr>
          <w:sz w:val="18"/>
          <w:szCs w:val="18"/>
        </w:rPr>
        <w:t>m</w:t>
      </w:r>
      <w:r w:rsidRPr="00611C03">
        <w:rPr>
          <w:sz w:val="18"/>
          <w:szCs w:val="18"/>
        </w:rPr>
        <w:t xml:space="preserve">eeting schedules, events, etc. </w:t>
      </w:r>
    </w:p>
    <w:p w:rsidR="008E3A18" w:rsidRPr="00611C03" w:rsidRDefault="008E3A18" w:rsidP="008E3A18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Level 3: </w:t>
      </w:r>
      <w:r>
        <w:rPr>
          <w:sz w:val="18"/>
          <w:szCs w:val="18"/>
        </w:rPr>
        <w:tab/>
      </w:r>
      <w:r w:rsidRPr="00611C03">
        <w:rPr>
          <w:sz w:val="18"/>
          <w:szCs w:val="18"/>
        </w:rPr>
        <w:t>Communications target the widest audience</w:t>
      </w:r>
      <w:r>
        <w:rPr>
          <w:sz w:val="18"/>
          <w:szCs w:val="18"/>
        </w:rPr>
        <w:t xml:space="preserve"> and requires the least detail</w:t>
      </w:r>
      <w:r w:rsidRPr="00611C03">
        <w:rPr>
          <w:sz w:val="18"/>
          <w:szCs w:val="18"/>
        </w:rPr>
        <w:t xml:space="preserve">. </w:t>
      </w:r>
      <w:r>
        <w:rPr>
          <w:sz w:val="18"/>
          <w:szCs w:val="18"/>
        </w:rPr>
        <w:t>A v</w:t>
      </w:r>
      <w:r w:rsidRPr="00611C03">
        <w:rPr>
          <w:sz w:val="18"/>
          <w:szCs w:val="18"/>
        </w:rPr>
        <w:t xml:space="preserve">ery high-level perspective. </w:t>
      </w:r>
    </w:p>
    <w:p w:rsidR="00FA219E" w:rsidRDefault="00FA219E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8E3A18" w:rsidRDefault="008E3A18" w:rsidP="00FA219E"/>
    <w:p w:rsidR="00FA219E" w:rsidRDefault="00FA219E" w:rsidP="00FA219E"/>
    <w:p w:rsidR="00FA219E" w:rsidRPr="00FA219E" w:rsidRDefault="00FA219E" w:rsidP="00FA219E"/>
    <w:p w:rsidR="00783B5C" w:rsidRDefault="00783B5C" w:rsidP="00783B5C">
      <w:pPr>
        <w:pStyle w:val="ListParagraph"/>
        <w:rPr>
          <w:rFonts w:asciiTheme="minorHAnsi" w:hAnsiTheme="minorHAnsi"/>
        </w:rPr>
      </w:pPr>
    </w:p>
    <w:p w:rsidR="00EB6606" w:rsidRPr="00EB6606" w:rsidRDefault="00EB6606" w:rsidP="00EB660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color w:val="FFFFFF" w:themeColor="background1"/>
        </w:rPr>
      </w:pPr>
      <w:r>
        <w:rPr>
          <w:rFonts w:asciiTheme="minorHAnsi" w:hAnsiTheme="minorHAnsi"/>
        </w:rPr>
        <w:lastRenderedPageBreak/>
        <w:t xml:space="preserve">C. </w:t>
      </w:r>
      <w:bookmarkStart w:id="0" w:name="_GoBack"/>
      <w:bookmarkEnd w:id="0"/>
      <w:r>
        <w:rPr>
          <w:rFonts w:asciiTheme="minorHAnsi" w:hAnsiTheme="minorHAnsi"/>
        </w:rPr>
        <w:t>NCACH Completed Outreach</w:t>
      </w:r>
    </w:p>
    <w:p w:rsidR="008E3A18" w:rsidRPr="009F590A" w:rsidRDefault="00783B5C" w:rsidP="009F590A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b/>
          <w:bCs/>
          <w:color w:val="FFFFFF" w:themeColor="background1"/>
        </w:rPr>
      </w:pPr>
      <w:r w:rsidRPr="009F590A">
        <w:rPr>
          <w:rFonts w:asciiTheme="minorHAnsi" w:hAnsiTheme="minorHAnsi"/>
          <w:b/>
        </w:rPr>
        <w:t xml:space="preserve">NCACH Completed Community </w:t>
      </w:r>
      <w:r w:rsidR="008E3A18" w:rsidRPr="009F590A">
        <w:rPr>
          <w:rFonts w:asciiTheme="minorHAnsi" w:hAnsiTheme="minorHAnsi"/>
          <w:b/>
        </w:rPr>
        <w:t xml:space="preserve">Engagement and </w:t>
      </w:r>
      <w:r w:rsidRPr="009F590A">
        <w:rPr>
          <w:rFonts w:asciiTheme="minorHAnsi" w:hAnsiTheme="minorHAnsi"/>
          <w:b/>
        </w:rPr>
        <w:t>Outreach</w:t>
      </w:r>
    </w:p>
    <w:p w:rsidR="008E3A18" w:rsidRPr="009F590A" w:rsidRDefault="008E3A18" w:rsidP="009F590A">
      <w:pPr>
        <w:jc w:val="center"/>
        <w:rPr>
          <w:b/>
          <w:bCs/>
          <w:color w:val="FFFFFF" w:themeColor="background1"/>
        </w:rPr>
        <w:sectPr w:rsidR="008E3A18" w:rsidRPr="009F590A" w:rsidSect="00DA3D2A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3-Accent5"/>
        <w:tblW w:w="12505" w:type="dxa"/>
        <w:jc w:val="center"/>
        <w:tblLook w:val="04A0" w:firstRow="1" w:lastRow="0" w:firstColumn="1" w:lastColumn="0" w:noHBand="0" w:noVBand="1"/>
      </w:tblPr>
      <w:tblGrid>
        <w:gridCol w:w="3325"/>
        <w:gridCol w:w="3060"/>
        <w:gridCol w:w="3060"/>
        <w:gridCol w:w="3060"/>
      </w:tblGrid>
      <w:tr w:rsidR="00513F12" w:rsidRPr="00996D1E" w:rsidTr="00996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5" w:type="dxa"/>
            <w:gridSpan w:val="4"/>
            <w:shd w:val="clear" w:color="auto" w:fill="4472C4"/>
          </w:tcPr>
          <w:p w:rsidR="00513F12" w:rsidRPr="00783B5C" w:rsidRDefault="00513F12" w:rsidP="00513F12">
            <w:pPr>
              <w:rPr>
                <w:b w:val="0"/>
                <w:sz w:val="24"/>
                <w:szCs w:val="24"/>
              </w:rPr>
            </w:pPr>
            <w:r w:rsidRPr="00783B5C">
              <w:rPr>
                <w:sz w:val="24"/>
                <w:szCs w:val="24"/>
              </w:rPr>
              <w:lastRenderedPageBreak/>
              <w:t>NCACH Organizational Meetings/Dates</w:t>
            </w:r>
          </w:p>
        </w:tc>
      </w:tr>
      <w:tr w:rsidR="00A313A1" w:rsidRP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313A1" w:rsidRPr="00996D1E" w:rsidRDefault="00A313A1" w:rsidP="00A313A1">
            <w:pPr>
              <w:rPr>
                <w:sz w:val="28"/>
                <w:szCs w:val="28"/>
              </w:rPr>
            </w:pPr>
            <w:r w:rsidRPr="00996D1E">
              <w:rPr>
                <w:sz w:val="28"/>
                <w:szCs w:val="28"/>
              </w:rPr>
              <w:t>Lead Group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01-29-2015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02-12-2015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02-26-2015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03-12-2015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03-26-2015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04-23-2015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05-07-2015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05-21-2015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06-04-2015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06-18-2015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Chelan-Douglas CHI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04-10-2015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10-02-2015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12-11-2015</w:t>
            </w:r>
          </w:p>
        </w:tc>
      </w:tr>
      <w:tr w:rsidR="00A313A1" w:rsidRPr="00996D1E" w:rsidTr="00996D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313A1" w:rsidRPr="00996D1E" w:rsidRDefault="00A313A1" w:rsidP="00A313A1">
            <w:pPr>
              <w:rPr>
                <w:sz w:val="28"/>
                <w:szCs w:val="28"/>
              </w:rPr>
            </w:pPr>
            <w:r w:rsidRPr="00996D1E">
              <w:rPr>
                <w:sz w:val="28"/>
                <w:szCs w:val="28"/>
              </w:rPr>
              <w:t>NCACH Governing Board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07-14-2015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08-21-2015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10-05-2015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11-02-2015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12-07-2015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Grant CHI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04-21-2015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07-15-2015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10-21-2015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12-16-2015</w:t>
            </w:r>
          </w:p>
        </w:tc>
      </w:tr>
      <w:tr w:rsidR="00A313A1" w:rsidRP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313A1" w:rsidRPr="00996D1E" w:rsidRDefault="00A313A1" w:rsidP="00A313A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Okanogan CHI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03-27-2015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06-16-2015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10-20-2015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12-15-2015</w:t>
            </w:r>
          </w:p>
        </w:tc>
      </w:tr>
      <w:tr w:rsidR="00513F12" w:rsidRPr="00996D1E" w:rsidTr="00996D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4"/>
            <w:shd w:val="clear" w:color="auto" w:fill="4472C4"/>
          </w:tcPr>
          <w:p w:rsidR="00783B5C" w:rsidRPr="00996D1E" w:rsidRDefault="00513F12" w:rsidP="00783B5C">
            <w:pPr>
              <w:rPr>
                <w:sz w:val="20"/>
                <w:szCs w:val="20"/>
              </w:rPr>
            </w:pPr>
            <w:r w:rsidRPr="00783B5C">
              <w:rPr>
                <w:color w:val="FFFFFF" w:themeColor="background1"/>
                <w:sz w:val="24"/>
                <w:szCs w:val="24"/>
              </w:rPr>
              <w:t>NCACH Regional Workgroups Meetings/Dates</w:t>
            </w:r>
          </w:p>
        </w:tc>
      </w:tr>
      <w:tr w:rsidR="00513F12" w:rsidRPr="00996D1E" w:rsidTr="008E3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4472C4"/>
            </w:tcBorders>
          </w:tcPr>
          <w:p w:rsidR="00513F12" w:rsidRPr="00996D1E" w:rsidRDefault="00513F12" w:rsidP="00513F12">
            <w:pPr>
              <w:rPr>
                <w:sz w:val="28"/>
                <w:szCs w:val="28"/>
              </w:rPr>
            </w:pPr>
            <w:r w:rsidRPr="00996D1E">
              <w:rPr>
                <w:sz w:val="28"/>
                <w:szCs w:val="28"/>
              </w:rPr>
              <w:t>Population Health Regional Workgroup</w:t>
            </w:r>
          </w:p>
        </w:tc>
        <w:tc>
          <w:tcPr>
            <w:tcW w:w="3060" w:type="dxa"/>
            <w:tcBorders>
              <w:bottom w:val="single" w:sz="4" w:space="0" w:color="4472C4"/>
            </w:tcBorders>
          </w:tcPr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07-21-2015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07-29-2015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08-06-2015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08-18-2015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08-27-2015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09-14-2015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10-05-2015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11-04-2015</w:t>
            </w:r>
          </w:p>
        </w:tc>
        <w:tc>
          <w:tcPr>
            <w:tcW w:w="3060" w:type="dxa"/>
            <w:tcBorders>
              <w:bottom w:val="single" w:sz="4" w:space="0" w:color="4472C4"/>
            </w:tcBorders>
          </w:tcPr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Care Transformation Regional Workgroup</w:t>
            </w:r>
          </w:p>
        </w:tc>
        <w:tc>
          <w:tcPr>
            <w:tcW w:w="3060" w:type="dxa"/>
          </w:tcPr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06-10-2015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06-24-2015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07-10-2015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08-11-2015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08-24-2015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09-02-2015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09-24-2015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10-14-2015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11-05-2015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11-18-2015</w:t>
            </w:r>
          </w:p>
        </w:tc>
      </w:tr>
    </w:tbl>
    <w:p w:rsidR="00C6390A" w:rsidRDefault="00C6390A" w:rsidP="00996D1E">
      <w:pPr>
        <w:sectPr w:rsidR="00C6390A" w:rsidSect="00A313A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5594" w:rsidRDefault="00B15594" w:rsidP="00996D1E"/>
    <w:tbl>
      <w:tblPr>
        <w:tblStyle w:val="ListTable3-Accent5"/>
        <w:tblpPr w:leftFromText="180" w:rightFromText="180" w:vertAnchor="page" w:horzAnchor="margin" w:tblpY="2716"/>
        <w:tblW w:w="5000" w:type="pct"/>
        <w:tblLook w:val="04A0" w:firstRow="1" w:lastRow="0" w:firstColumn="1" w:lastColumn="0" w:noHBand="0" w:noVBand="1"/>
      </w:tblPr>
      <w:tblGrid>
        <w:gridCol w:w="3157"/>
        <w:gridCol w:w="4027"/>
        <w:gridCol w:w="2448"/>
        <w:gridCol w:w="1580"/>
        <w:gridCol w:w="1738"/>
      </w:tblGrid>
      <w:tr w:rsidR="00996D1E" w:rsidTr="00F3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9" w:type="pct"/>
            <w:shd w:val="clear" w:color="auto" w:fill="4472C4"/>
          </w:tcPr>
          <w:p w:rsidR="00996D1E" w:rsidRPr="00783B5C" w:rsidRDefault="00996D1E" w:rsidP="00996D1E">
            <w:pPr>
              <w:rPr>
                <w:sz w:val="24"/>
                <w:szCs w:val="24"/>
              </w:rPr>
            </w:pPr>
            <w:r w:rsidRPr="00783B5C">
              <w:rPr>
                <w:sz w:val="24"/>
                <w:szCs w:val="24"/>
              </w:rPr>
              <w:t>Organization/Agency</w:t>
            </w:r>
          </w:p>
        </w:tc>
        <w:tc>
          <w:tcPr>
            <w:tcW w:w="1555" w:type="pct"/>
            <w:shd w:val="clear" w:color="auto" w:fill="4472C4"/>
          </w:tcPr>
          <w:p w:rsidR="00996D1E" w:rsidRPr="00783B5C" w:rsidRDefault="008E3A18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Level</w:t>
            </w:r>
          </w:p>
        </w:tc>
        <w:tc>
          <w:tcPr>
            <w:tcW w:w="945" w:type="pct"/>
            <w:shd w:val="clear" w:color="auto" w:fill="4472C4"/>
          </w:tcPr>
          <w:p w:rsidR="00996D1E" w:rsidRPr="00783B5C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3B5C">
              <w:rPr>
                <w:sz w:val="24"/>
                <w:szCs w:val="24"/>
              </w:rPr>
              <w:t>Organization Contact and/or Lead</w:t>
            </w:r>
          </w:p>
        </w:tc>
        <w:tc>
          <w:tcPr>
            <w:tcW w:w="610" w:type="pct"/>
            <w:shd w:val="clear" w:color="auto" w:fill="4472C4"/>
          </w:tcPr>
          <w:p w:rsidR="00996D1E" w:rsidRPr="00783B5C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3B5C">
              <w:rPr>
                <w:sz w:val="24"/>
                <w:szCs w:val="24"/>
              </w:rPr>
              <w:t>Meeting Date</w:t>
            </w:r>
          </w:p>
        </w:tc>
        <w:tc>
          <w:tcPr>
            <w:tcW w:w="671" w:type="pct"/>
            <w:shd w:val="clear" w:color="auto" w:fill="4472C4"/>
          </w:tcPr>
          <w:p w:rsidR="00996D1E" w:rsidRPr="00783B5C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3B5C">
              <w:rPr>
                <w:sz w:val="24"/>
                <w:szCs w:val="24"/>
              </w:rPr>
              <w:t>ACH delegate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</w:tcPr>
          <w:p w:rsidR="00996D1E" w:rsidRDefault="00996D1E" w:rsidP="00996D1E">
            <w:pPr>
              <w:jc w:val="center"/>
            </w:pPr>
            <w:r>
              <w:t>NCACH REGION-Presentations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Senior Services Network-Chelan/Douglas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Dianne Tribble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01-20-2015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Community Resource Forum-Moses Lake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Wendy Hanover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02-03-2015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Chelan Round Table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 Watson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04-17-2015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Wenatchee School Board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05-12-2015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Wenatchee Downtown Rotary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Hernandez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05-28-2015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Kling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Wenatchee School District-Family Advocates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Hernandez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06-03-2015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WA Health Alliance-Wenatchee Stakeholder Meeting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06-09-2015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Coalition of Children and Families-Board Meeting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06-15-2015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 xml:space="preserve">Medicaid Providers Meeting 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Aimee White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06-17-2015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Together for Youth-Board Meeting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Renee Hunter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07-01-2015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Economic Leadership Roundtable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Ron </w:t>
            </w:r>
            <w:proofErr w:type="spellStart"/>
            <w:r>
              <w:t>Cridlebaugh</w:t>
            </w:r>
            <w:proofErr w:type="spellEnd"/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07-16-2015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Sunrise Rotary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Huffman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07-28-2015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Serving Our Seniors-Omak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Lisa </w:t>
            </w:r>
            <w:proofErr w:type="spellStart"/>
            <w:r>
              <w:t>Forrer</w:t>
            </w:r>
            <w:proofErr w:type="spellEnd"/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07-30-2015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United Neighborhood Association-Wenatchee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09-02-2015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NCESD-Nurse Corp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Winnie Adams</w:t>
            </w:r>
          </w:p>
        </w:tc>
        <w:tc>
          <w:tcPr>
            <w:tcW w:w="610" w:type="pct"/>
          </w:tcPr>
          <w:p w:rsidR="00F30842" w:rsidRPr="00A313A1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09-23-2015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Kling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NCESD-Migrant Physical Education Staff-Wenatchee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Rosie Martin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09-29-2015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lastRenderedPageBreak/>
              <w:t>Coalition of Chi</w:t>
            </w:r>
            <w:r>
              <w:t>ldren and Families-Annual Retreat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10-02-2015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Binational Health Week Event-Wenatchee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10-03-2015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NCESD-Migrant Physical Education Staff-Omak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Rosie Martin</w:t>
            </w: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10-09-2015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Coalition of Chi</w:t>
            </w:r>
            <w:r>
              <w:t>ldren and Families-Legislative Forum</w:t>
            </w:r>
          </w:p>
        </w:tc>
        <w:tc>
          <w:tcPr>
            <w:tcW w:w="1555" w:type="pct"/>
          </w:tcPr>
          <w:p w:rsidR="00F30842" w:rsidRDefault="009F590A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11-04-2015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</w:tcPr>
          <w:p w:rsidR="00996D1E" w:rsidRDefault="00996D1E" w:rsidP="00996D1E">
            <w:pPr>
              <w:jc w:val="center"/>
            </w:pPr>
            <w:r>
              <w:t>Washington State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2015 WSPHA Conference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Panel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WSPHA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10-11-2015</w:t>
            </w:r>
          </w:p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10-12-2015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Barry Kling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</w:tcPr>
          <w:p w:rsidR="00996D1E" w:rsidRDefault="00996D1E" w:rsidP="00996D1E">
            <w:pPr>
              <w:jc w:val="center"/>
            </w:pPr>
            <w:r>
              <w:t>Media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NCW Community Success Summit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Supplement Article:  </w:t>
            </w:r>
            <w:r>
              <w:rPr>
                <w:i/>
              </w:rPr>
              <w:t xml:space="preserve"> Building a Culture of Health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30842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30842" w:rsidRDefault="00F30842" w:rsidP="00996D1E">
            <w:r>
              <w:t>Binational Health Week Event-Wenatchee</w:t>
            </w:r>
          </w:p>
        </w:tc>
        <w:tc>
          <w:tcPr>
            <w:tcW w:w="155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 Guest (Spanish)</w:t>
            </w:r>
          </w:p>
        </w:tc>
        <w:tc>
          <w:tcPr>
            <w:tcW w:w="945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10-03-2015</w:t>
            </w:r>
          </w:p>
        </w:tc>
        <w:tc>
          <w:tcPr>
            <w:tcW w:w="671" w:type="pct"/>
          </w:tcPr>
          <w:p w:rsidR="00F30842" w:rsidRDefault="00F30842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Hernandez</w:t>
            </w:r>
          </w:p>
        </w:tc>
      </w:tr>
    </w:tbl>
    <w:p w:rsidR="00F15A58" w:rsidRDefault="00F15A58" w:rsidP="00C27094"/>
    <w:p w:rsidR="00B15594" w:rsidRDefault="00B15594" w:rsidP="00C27094"/>
    <w:p w:rsidR="007408C5" w:rsidRDefault="007408C5" w:rsidP="00C27094"/>
    <w:sectPr w:rsidR="007408C5" w:rsidSect="00C6390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95" w:rsidRDefault="00C20595" w:rsidP="008E42EF">
      <w:pPr>
        <w:spacing w:after="0" w:line="240" w:lineRule="auto"/>
      </w:pPr>
      <w:r>
        <w:separator/>
      </w:r>
    </w:p>
  </w:endnote>
  <w:endnote w:type="continuationSeparator" w:id="0">
    <w:p w:rsidR="00C20595" w:rsidRDefault="00C20595" w:rsidP="008E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95" w:rsidRDefault="00C20595" w:rsidP="008E42EF">
      <w:pPr>
        <w:spacing w:after="0" w:line="240" w:lineRule="auto"/>
      </w:pPr>
      <w:r>
        <w:separator/>
      </w:r>
    </w:p>
  </w:footnote>
  <w:footnote w:type="continuationSeparator" w:id="0">
    <w:p w:rsidR="00C20595" w:rsidRDefault="00C20595" w:rsidP="008E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5C" w:rsidRPr="0003645E" w:rsidRDefault="00783B5C" w:rsidP="00BD4D8A">
    <w:pPr>
      <w:pStyle w:val="Title"/>
      <w:rPr>
        <w:rStyle w:val="Emphasis"/>
        <w:b/>
        <w:sz w:val="40"/>
        <w:szCs w:val="40"/>
      </w:rPr>
    </w:pPr>
    <w:r w:rsidRPr="0003645E">
      <w:rPr>
        <w:rStyle w:val="Emphasis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5835B31F" wp14:editId="1F259C82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971550" cy="96393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CH Word Clo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645E">
      <w:rPr>
        <w:rStyle w:val="Emphasis"/>
        <w:b/>
        <w:sz w:val="40"/>
        <w:szCs w:val="40"/>
      </w:rPr>
      <w:t>North Central</w:t>
    </w:r>
  </w:p>
  <w:p w:rsidR="00783B5C" w:rsidRPr="0003645E" w:rsidRDefault="00783B5C" w:rsidP="00BD4D8A">
    <w:pPr>
      <w:pStyle w:val="Title"/>
      <w:rPr>
        <w:rStyle w:val="Emphasis"/>
        <w:b/>
        <w:sz w:val="40"/>
        <w:szCs w:val="40"/>
      </w:rPr>
    </w:pPr>
    <w:r w:rsidRPr="0003645E">
      <w:rPr>
        <w:rStyle w:val="Emphasis"/>
        <w:b/>
        <w:sz w:val="40"/>
        <w:szCs w:val="40"/>
      </w:rPr>
      <w:t>Accountable Community of Health</w:t>
    </w:r>
  </w:p>
  <w:p w:rsidR="00783B5C" w:rsidRDefault="00783B5C" w:rsidP="00BD4D8A">
    <w:pPr>
      <w:pStyle w:val="Header"/>
    </w:pPr>
  </w:p>
  <w:p w:rsidR="00783B5C" w:rsidRDefault="00783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EF" w:rsidRPr="0003645E" w:rsidRDefault="008E42EF" w:rsidP="008E42EF">
    <w:pPr>
      <w:pStyle w:val="Title"/>
      <w:rPr>
        <w:rStyle w:val="Emphasis"/>
        <w:b/>
        <w:sz w:val="40"/>
        <w:szCs w:val="40"/>
      </w:rPr>
    </w:pPr>
    <w:r w:rsidRPr="0003645E">
      <w:rPr>
        <w:rStyle w:val="Emphasis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FD3E721" wp14:editId="5F56CC68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971550" cy="9639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CH Word Clo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645E">
      <w:rPr>
        <w:rStyle w:val="Emphasis"/>
        <w:b/>
        <w:sz w:val="40"/>
        <w:szCs w:val="40"/>
      </w:rPr>
      <w:t>North Central</w:t>
    </w:r>
  </w:p>
  <w:p w:rsidR="008E42EF" w:rsidRPr="0003645E" w:rsidRDefault="008E42EF" w:rsidP="008E42EF">
    <w:pPr>
      <w:pStyle w:val="Title"/>
      <w:rPr>
        <w:rStyle w:val="Emphasis"/>
        <w:b/>
        <w:sz w:val="40"/>
        <w:szCs w:val="40"/>
      </w:rPr>
    </w:pPr>
    <w:r w:rsidRPr="0003645E">
      <w:rPr>
        <w:rStyle w:val="Emphasis"/>
        <w:b/>
        <w:sz w:val="40"/>
        <w:szCs w:val="40"/>
      </w:rPr>
      <w:t>Accountable Community of Health</w:t>
    </w:r>
  </w:p>
  <w:p w:rsidR="008E42EF" w:rsidRDefault="008E42EF" w:rsidP="008E42EF">
    <w:pPr>
      <w:pStyle w:val="Header"/>
    </w:pPr>
  </w:p>
  <w:p w:rsidR="008E42EF" w:rsidRDefault="008E4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E9"/>
    <w:multiLevelType w:val="hybridMultilevel"/>
    <w:tmpl w:val="4F62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4F8B"/>
    <w:multiLevelType w:val="hybridMultilevel"/>
    <w:tmpl w:val="4B58C2F6"/>
    <w:lvl w:ilvl="0" w:tplc="EDF2258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F"/>
    <w:rsid w:val="00193919"/>
    <w:rsid w:val="001C7D6D"/>
    <w:rsid w:val="002266C4"/>
    <w:rsid w:val="00253DF6"/>
    <w:rsid w:val="00513F12"/>
    <w:rsid w:val="00635CBB"/>
    <w:rsid w:val="00677B73"/>
    <w:rsid w:val="0070317B"/>
    <w:rsid w:val="007408C5"/>
    <w:rsid w:val="00783B5C"/>
    <w:rsid w:val="007A6E9A"/>
    <w:rsid w:val="008B39C5"/>
    <w:rsid w:val="008E3A18"/>
    <w:rsid w:val="008E42EF"/>
    <w:rsid w:val="00996D1E"/>
    <w:rsid w:val="009F590A"/>
    <w:rsid w:val="00A313A1"/>
    <w:rsid w:val="00B15594"/>
    <w:rsid w:val="00BD4E96"/>
    <w:rsid w:val="00C20595"/>
    <w:rsid w:val="00C27094"/>
    <w:rsid w:val="00C6390A"/>
    <w:rsid w:val="00EB6606"/>
    <w:rsid w:val="00F15A58"/>
    <w:rsid w:val="00F30842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42FA-2604-43E9-B6DE-3DFFD6FE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EF"/>
  </w:style>
  <w:style w:type="paragraph" w:styleId="Footer">
    <w:name w:val="footer"/>
    <w:basedOn w:val="Normal"/>
    <w:link w:val="FooterChar"/>
    <w:uiPriority w:val="99"/>
    <w:unhideWhenUsed/>
    <w:rsid w:val="008E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EF"/>
  </w:style>
  <w:style w:type="paragraph" w:styleId="Title">
    <w:name w:val="Title"/>
    <w:basedOn w:val="Normal"/>
    <w:next w:val="Normal"/>
    <w:link w:val="TitleChar"/>
    <w:uiPriority w:val="10"/>
    <w:qFormat/>
    <w:rsid w:val="008E4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E42EF"/>
    <w:rPr>
      <w:i/>
      <w:iCs/>
    </w:rPr>
  </w:style>
  <w:style w:type="table" w:styleId="ListTable3-Accent5">
    <w:name w:val="List Table 3 Accent 5"/>
    <w:basedOn w:val="TableNormal"/>
    <w:uiPriority w:val="48"/>
    <w:rsid w:val="00C2709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3B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5</cp:revision>
  <cp:lastPrinted>2015-11-11T19:21:00Z</cp:lastPrinted>
  <dcterms:created xsi:type="dcterms:W3CDTF">2015-11-17T22:08:00Z</dcterms:created>
  <dcterms:modified xsi:type="dcterms:W3CDTF">2015-11-17T22:48:00Z</dcterms:modified>
</cp:coreProperties>
</file>