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57" w:rsidRDefault="00572A57" w:rsidP="00A356ED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Screening for Depres</w:t>
      </w:r>
      <w:r w:rsidR="00D42598">
        <w:rPr>
          <w:rFonts w:ascii="Calibri" w:hAnsi="Calibri" w:cs="Arial"/>
          <w:b/>
        </w:rPr>
        <w:t>sion with Older Adults</w:t>
      </w:r>
    </w:p>
    <w:p w:rsidR="00B5101C" w:rsidRPr="00A356ED" w:rsidRDefault="00A356ED" w:rsidP="000678E4">
      <w:pPr>
        <w:spacing w:after="0" w:line="240" w:lineRule="auto"/>
      </w:pPr>
      <w:r w:rsidRPr="003A0CAD">
        <w:rPr>
          <w:rFonts w:ascii="Calibri" w:hAnsi="Calibri" w:cs="Arial"/>
          <w:b/>
        </w:rPr>
        <w:t xml:space="preserve">What: </w:t>
      </w:r>
      <w:r>
        <w:rPr>
          <w:rFonts w:ascii="Calibri" w:hAnsi="Calibri" w:cs="Arial"/>
          <w:b/>
        </w:rPr>
        <w:tab/>
      </w:r>
      <w:r>
        <w:t>Geriatric Depression Scale (GDS). The Short Form GDS consists of 15 que</w:t>
      </w:r>
      <w:r w:rsidR="00B90573">
        <w:t>stions</w:t>
      </w:r>
      <w:r w:rsidR="009B047D">
        <w:t>. It takes 5-7 minutes to complete.</w:t>
      </w:r>
    </w:p>
    <w:p w:rsidR="00B5101C" w:rsidRDefault="00A356ED" w:rsidP="000678E4">
      <w:pPr>
        <w:spacing w:after="0" w:line="240" w:lineRule="auto"/>
        <w:rPr>
          <w:rFonts w:ascii="Calibri" w:hAnsi="Calibri"/>
        </w:rPr>
      </w:pPr>
      <w:r w:rsidRPr="00EF4194">
        <w:rPr>
          <w:rFonts w:ascii="Calibri" w:hAnsi="Calibri"/>
          <w:b/>
        </w:rPr>
        <w:t>Who:</w:t>
      </w:r>
      <w:r w:rsidRPr="007966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A356ED">
        <w:rPr>
          <w:rFonts w:ascii="Calibri" w:hAnsi="Calibri"/>
        </w:rPr>
        <w:t>GDS may be us</w:t>
      </w:r>
      <w:r w:rsidR="00460D14">
        <w:rPr>
          <w:rFonts w:ascii="Calibri" w:hAnsi="Calibri"/>
        </w:rPr>
        <w:t>ed</w:t>
      </w:r>
      <w:r w:rsidR="00B90573">
        <w:rPr>
          <w:rFonts w:ascii="Calibri" w:hAnsi="Calibri"/>
        </w:rPr>
        <w:t xml:space="preserve"> older adults</w:t>
      </w:r>
      <w:r w:rsidR="00B5101C">
        <w:rPr>
          <w:rFonts w:ascii="Calibri" w:hAnsi="Calibri"/>
        </w:rPr>
        <w:t xml:space="preserve"> 65 and older</w:t>
      </w:r>
      <w:r w:rsidR="00B90573">
        <w:rPr>
          <w:rFonts w:ascii="Calibri" w:hAnsi="Calibri"/>
        </w:rPr>
        <w:t xml:space="preserve">. </w:t>
      </w:r>
      <w:r w:rsidR="00B90573" w:rsidRPr="00A356ED">
        <w:rPr>
          <w:rFonts w:ascii="Calibri" w:hAnsi="Calibri"/>
        </w:rPr>
        <w:t xml:space="preserve">The </w:t>
      </w:r>
      <w:r w:rsidR="00B90573">
        <w:rPr>
          <w:rFonts w:ascii="Calibri" w:hAnsi="Calibri"/>
        </w:rPr>
        <w:t xml:space="preserve">GDS </w:t>
      </w:r>
      <w:r w:rsidR="00B90573" w:rsidRPr="00A356ED">
        <w:rPr>
          <w:rFonts w:ascii="Calibri" w:hAnsi="Calibri"/>
        </w:rPr>
        <w:t xml:space="preserve">Short Form is more easily used by physically ill and mildly to moderately demented patients who have </w:t>
      </w:r>
      <w:r w:rsidR="00995CDE" w:rsidRPr="00A356ED">
        <w:rPr>
          <w:rFonts w:ascii="Calibri" w:hAnsi="Calibri"/>
        </w:rPr>
        <w:t>sh</w:t>
      </w:r>
      <w:r w:rsidR="00995CDE">
        <w:rPr>
          <w:rFonts w:ascii="Calibri" w:hAnsi="Calibri"/>
        </w:rPr>
        <w:t xml:space="preserve">ort attention spans and/or feel easily fatigued. </w:t>
      </w:r>
    </w:p>
    <w:p w:rsidR="00572A57" w:rsidRDefault="00D42598" w:rsidP="000678E4">
      <w:pPr>
        <w:spacing w:after="0" w:line="240" w:lineRule="auto"/>
        <w:rPr>
          <w:rFonts w:ascii="Calibri" w:hAnsi="Calibri"/>
        </w:rPr>
      </w:pPr>
      <w:r w:rsidRPr="00EF4194">
        <w:rPr>
          <w:rFonts w:ascii="Calibri" w:hAnsi="Calibri"/>
          <w:b/>
        </w:rPr>
        <w:t>Why:</w:t>
      </w:r>
      <w:r w:rsidRPr="007966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0E466C">
        <w:rPr>
          <w:rFonts w:ascii="Calibri" w:hAnsi="Calibri"/>
        </w:rPr>
        <w:t xml:space="preserve">Identifying depression in older adults is especially relevant since it </w:t>
      </w:r>
      <w:r w:rsidR="000E466C" w:rsidRPr="000E466C">
        <w:rPr>
          <w:rFonts w:ascii="Calibri" w:hAnsi="Calibri"/>
        </w:rPr>
        <w:t xml:space="preserve">may be comorbid with other illnesses, </w:t>
      </w:r>
      <w:r w:rsidR="000E466C">
        <w:rPr>
          <w:rFonts w:ascii="Calibri" w:hAnsi="Calibri"/>
        </w:rPr>
        <w:t>exacerbate</w:t>
      </w:r>
      <w:r w:rsidR="000E466C" w:rsidRPr="000E466C">
        <w:rPr>
          <w:rFonts w:ascii="Calibri" w:hAnsi="Calibri"/>
        </w:rPr>
        <w:t xml:space="preserve"> existing physical symptoms</w:t>
      </w:r>
      <w:r w:rsidR="000E466C">
        <w:rPr>
          <w:rFonts w:ascii="Calibri" w:hAnsi="Calibri"/>
        </w:rPr>
        <w:t xml:space="preserve"> or may actually be responsible for the symptoms that a patient is experiencing.</w:t>
      </w:r>
      <w:r w:rsidR="007C0587">
        <w:rPr>
          <w:rFonts w:ascii="Calibri" w:hAnsi="Calibri"/>
        </w:rPr>
        <w:t xml:space="preserve"> </w:t>
      </w:r>
      <w:r w:rsidR="00861DAF">
        <w:rPr>
          <w:rFonts w:ascii="Calibri" w:hAnsi="Calibri"/>
        </w:rPr>
        <w:t>Older are more likely to seek and accept services in primary care.</w:t>
      </w:r>
    </w:p>
    <w:p w:rsidR="00572A57" w:rsidRDefault="00572A57" w:rsidP="000678E4">
      <w:pPr>
        <w:spacing w:after="0" w:line="240" w:lineRule="auto"/>
        <w:rPr>
          <w:rFonts w:ascii="Calibri" w:hAnsi="Calibri"/>
        </w:rPr>
      </w:pPr>
      <w:r w:rsidRPr="00EF4194">
        <w:rPr>
          <w:rFonts w:ascii="Calibri" w:hAnsi="Calibri"/>
          <w:b/>
        </w:rPr>
        <w:t>When:</w:t>
      </w:r>
      <w:r w:rsidRPr="00796609">
        <w:rPr>
          <w:rFonts w:ascii="Calibri" w:hAnsi="Calibri"/>
        </w:rPr>
        <w:t xml:space="preserve"> </w:t>
      </w:r>
    </w:p>
    <w:p w:rsidR="00572A57" w:rsidRPr="003A0CAD" w:rsidRDefault="007C0587" w:rsidP="000678E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Once per year or with a new p</w:t>
      </w:r>
      <w:r w:rsidR="00572A57" w:rsidRPr="003A0CAD">
        <w:rPr>
          <w:rFonts w:ascii="Calibri" w:hAnsi="Calibri"/>
        </w:rPr>
        <w:t xml:space="preserve">atient  </w:t>
      </w:r>
    </w:p>
    <w:p w:rsidR="00572A57" w:rsidRDefault="007C0587" w:rsidP="000678E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Every two weeks  if patient is started on an antidepressant and until the patient is in remission (under a score of 5)</w:t>
      </w:r>
    </w:p>
    <w:p w:rsidR="00572A57" w:rsidRDefault="007C0587" w:rsidP="000678E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Every 6 months for patients with a history of depression</w:t>
      </w:r>
    </w:p>
    <w:p w:rsidR="000678E4" w:rsidRPr="00995CDE" w:rsidRDefault="000678E4" w:rsidP="000678E4">
      <w:pPr>
        <w:pStyle w:val="ListParagraph"/>
        <w:spacing w:after="0" w:line="240" w:lineRule="auto"/>
        <w:rPr>
          <w:rFonts w:ascii="Calibri" w:hAnsi="Calibri"/>
        </w:rPr>
      </w:pPr>
    </w:p>
    <w:p w:rsidR="00572A57" w:rsidRDefault="00B90573" w:rsidP="000678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Scoring: </w:t>
      </w:r>
      <w:r>
        <w:rPr>
          <w:rFonts w:ascii="Calibri" w:hAnsi="Calibri"/>
        </w:rPr>
        <w:t>Of the 15 item</w:t>
      </w:r>
      <w:r w:rsidR="00572A57">
        <w:rPr>
          <w:rFonts w:ascii="Calibri" w:hAnsi="Calibri"/>
        </w:rPr>
        <w:t>s, items 10 items indicate</w:t>
      </w:r>
      <w:r w:rsidR="00A356ED" w:rsidRPr="00A356ED">
        <w:rPr>
          <w:rFonts w:ascii="Calibri" w:hAnsi="Calibri"/>
        </w:rPr>
        <w:t xml:space="preserve"> the presence of depression when answered </w:t>
      </w:r>
      <w:r w:rsidR="00A356ED" w:rsidRPr="00572A57">
        <w:rPr>
          <w:rFonts w:ascii="Calibri" w:hAnsi="Calibri"/>
          <w:b/>
        </w:rPr>
        <w:t>positively</w:t>
      </w:r>
      <w:r w:rsidR="00A356ED" w:rsidRPr="00A356ED">
        <w:rPr>
          <w:rFonts w:ascii="Calibri" w:hAnsi="Calibri"/>
        </w:rPr>
        <w:t xml:space="preserve">, while </w:t>
      </w:r>
      <w:r w:rsidR="00572A57">
        <w:rPr>
          <w:rFonts w:ascii="Calibri" w:hAnsi="Calibri"/>
        </w:rPr>
        <w:t xml:space="preserve">the rest of the items indicate </w:t>
      </w:r>
      <w:r w:rsidR="00A356ED" w:rsidRPr="00A356ED">
        <w:rPr>
          <w:rFonts w:ascii="Calibri" w:hAnsi="Calibri"/>
        </w:rPr>
        <w:t xml:space="preserve">depression when answered </w:t>
      </w:r>
      <w:r w:rsidR="00A356ED" w:rsidRPr="00572A57">
        <w:rPr>
          <w:rFonts w:ascii="Calibri" w:hAnsi="Calibri"/>
          <w:b/>
        </w:rPr>
        <w:t>negatively</w:t>
      </w:r>
      <w:r w:rsidR="00A356ED" w:rsidRPr="00A356ED">
        <w:rPr>
          <w:rFonts w:ascii="Calibri" w:hAnsi="Calibri"/>
        </w:rPr>
        <w:t xml:space="preserve">. </w:t>
      </w:r>
      <w:r w:rsidR="009B047D" w:rsidRPr="009B047D">
        <w:rPr>
          <w:rFonts w:ascii="Calibri" w:hAnsi="Calibri"/>
        </w:rPr>
        <w:t>Questions are answered either “yes” or “no”</w:t>
      </w:r>
      <w:r>
        <w:rPr>
          <w:rFonts w:ascii="Calibri" w:hAnsi="Calibri"/>
        </w:rPr>
        <w:t xml:space="preserve">. </w:t>
      </w:r>
    </w:p>
    <w:p w:rsidR="000678E4" w:rsidRDefault="000678E4" w:rsidP="000678E4">
      <w:pPr>
        <w:spacing w:after="0" w:line="240" w:lineRule="auto"/>
        <w:rPr>
          <w:rFonts w:ascii="Calibri" w:hAnsi="Calibri"/>
        </w:rPr>
      </w:pPr>
    </w:p>
    <w:p w:rsidR="00572A57" w:rsidRDefault="000678E4" w:rsidP="000678E4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O</w:t>
      </w:r>
      <w:r w:rsidR="00572A57" w:rsidRPr="00572A57">
        <w:rPr>
          <w:rFonts w:ascii="Calibri" w:hAnsi="Calibri"/>
        </w:rPr>
        <w:t>ne point for every “</w:t>
      </w:r>
      <w:r w:rsidR="00572A57" w:rsidRPr="00460D14">
        <w:rPr>
          <w:rFonts w:ascii="Calibri" w:hAnsi="Calibri"/>
          <w:b/>
        </w:rPr>
        <w:t>yes</w:t>
      </w:r>
      <w:r w:rsidR="00572A57" w:rsidRPr="00572A57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:rsidR="00572A57" w:rsidRDefault="000678E4" w:rsidP="000678E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Questions </w:t>
      </w:r>
      <w:r w:rsidR="00572A57" w:rsidRPr="00572A57">
        <w:rPr>
          <w:rFonts w:ascii="Calibri" w:hAnsi="Calibri"/>
        </w:rPr>
        <w:t>2,3,4,6,8,9,10,12,14,15</w:t>
      </w:r>
      <w:r w:rsidR="00572A57">
        <w:rPr>
          <w:rFonts w:ascii="Calibri" w:hAnsi="Calibri"/>
        </w:rPr>
        <w:t xml:space="preserve"> </w:t>
      </w:r>
    </w:p>
    <w:p w:rsidR="00572A57" w:rsidRDefault="000678E4" w:rsidP="000678E4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One </w:t>
      </w:r>
      <w:r w:rsidR="00572A57" w:rsidRPr="00572A57">
        <w:rPr>
          <w:rFonts w:ascii="Calibri" w:hAnsi="Calibri"/>
        </w:rPr>
        <w:t>point for every “</w:t>
      </w:r>
      <w:r w:rsidR="00572A57" w:rsidRPr="00460D14">
        <w:rPr>
          <w:rFonts w:ascii="Calibri" w:hAnsi="Calibri"/>
          <w:b/>
        </w:rPr>
        <w:t>no</w:t>
      </w:r>
      <w:r>
        <w:rPr>
          <w:rFonts w:ascii="Calibri" w:hAnsi="Calibri"/>
        </w:rPr>
        <w:t xml:space="preserve">” </w:t>
      </w:r>
    </w:p>
    <w:p w:rsidR="009B047D" w:rsidRDefault="000678E4" w:rsidP="000678E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Questions </w:t>
      </w:r>
      <w:r w:rsidR="00572A57" w:rsidRPr="00572A57">
        <w:rPr>
          <w:rFonts w:ascii="Calibri" w:hAnsi="Calibri"/>
        </w:rPr>
        <w:t>1, 5, 7, 11, 13.</w:t>
      </w:r>
    </w:p>
    <w:p w:rsidR="00572A57" w:rsidRDefault="00572A57" w:rsidP="000678E4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5395"/>
      </w:tblGrid>
      <w:tr w:rsidR="0083782E" w:rsidTr="00322F9A">
        <w:tc>
          <w:tcPr>
            <w:tcW w:w="2155" w:type="dxa"/>
          </w:tcPr>
          <w:p w:rsidR="0083782E" w:rsidRPr="0083782E" w:rsidRDefault="0083782E" w:rsidP="0083782E">
            <w:pPr>
              <w:jc w:val="center"/>
              <w:rPr>
                <w:rFonts w:ascii="Calibri" w:hAnsi="Calibri"/>
                <w:b/>
              </w:rPr>
            </w:pPr>
            <w:r w:rsidRPr="0083782E">
              <w:rPr>
                <w:rFonts w:ascii="Calibri" w:hAnsi="Calibri"/>
                <w:b/>
              </w:rPr>
              <w:t>GDS Score</w:t>
            </w:r>
          </w:p>
        </w:tc>
        <w:tc>
          <w:tcPr>
            <w:tcW w:w="2520" w:type="dxa"/>
          </w:tcPr>
          <w:p w:rsidR="0083782E" w:rsidRPr="0083782E" w:rsidRDefault="0083782E" w:rsidP="0083782E">
            <w:pPr>
              <w:jc w:val="center"/>
              <w:rPr>
                <w:rFonts w:ascii="Calibri" w:hAnsi="Calibri"/>
                <w:b/>
              </w:rPr>
            </w:pPr>
            <w:r w:rsidRPr="0083782E">
              <w:rPr>
                <w:rFonts w:ascii="Calibri" w:hAnsi="Calibri"/>
                <w:b/>
              </w:rPr>
              <w:t>Level of Severity</w:t>
            </w:r>
          </w:p>
        </w:tc>
        <w:tc>
          <w:tcPr>
            <w:tcW w:w="5395" w:type="dxa"/>
          </w:tcPr>
          <w:p w:rsidR="0083782E" w:rsidRPr="0083782E" w:rsidRDefault="0083782E" w:rsidP="0083782E">
            <w:pPr>
              <w:jc w:val="center"/>
              <w:rPr>
                <w:rFonts w:ascii="Calibri" w:hAnsi="Calibri"/>
                <w:b/>
              </w:rPr>
            </w:pPr>
            <w:r w:rsidRPr="0083782E">
              <w:rPr>
                <w:rFonts w:ascii="Calibri" w:hAnsi="Calibri"/>
                <w:b/>
              </w:rPr>
              <w:t>Intervention</w:t>
            </w:r>
          </w:p>
        </w:tc>
      </w:tr>
      <w:tr w:rsidR="0083782E" w:rsidTr="00322F9A">
        <w:tc>
          <w:tcPr>
            <w:tcW w:w="2155" w:type="dxa"/>
          </w:tcPr>
          <w:p w:rsidR="0083782E" w:rsidRDefault="0083782E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0-4</w:t>
            </w:r>
          </w:p>
        </w:tc>
        <w:tc>
          <w:tcPr>
            <w:tcW w:w="2520" w:type="dxa"/>
          </w:tcPr>
          <w:p w:rsidR="0083782E" w:rsidRDefault="0083782E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Considered Normal</w:t>
            </w:r>
          </w:p>
        </w:tc>
        <w:tc>
          <w:tcPr>
            <w:tcW w:w="5395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intervention or self-management support (exercise, stress management)</w:t>
            </w:r>
          </w:p>
        </w:tc>
      </w:tr>
      <w:tr w:rsidR="0083782E" w:rsidTr="00322F9A">
        <w:tc>
          <w:tcPr>
            <w:tcW w:w="2155" w:type="dxa"/>
          </w:tcPr>
          <w:p w:rsidR="0083782E" w:rsidRDefault="0083782E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</w:t>
            </w:r>
          </w:p>
        </w:tc>
        <w:tc>
          <w:tcPr>
            <w:tcW w:w="2520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Mild Depression</w:t>
            </w:r>
          </w:p>
        </w:tc>
        <w:tc>
          <w:tcPr>
            <w:tcW w:w="5395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Diagnostic assessment and self-management support</w:t>
            </w:r>
          </w:p>
        </w:tc>
      </w:tr>
      <w:tr w:rsidR="0083782E" w:rsidTr="00322F9A">
        <w:tc>
          <w:tcPr>
            <w:tcW w:w="2155" w:type="dxa"/>
          </w:tcPr>
          <w:p w:rsidR="0083782E" w:rsidRDefault="0083782E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9-11</w:t>
            </w:r>
          </w:p>
        </w:tc>
        <w:tc>
          <w:tcPr>
            <w:tcW w:w="2520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Moderate Depression</w:t>
            </w:r>
          </w:p>
        </w:tc>
        <w:tc>
          <w:tcPr>
            <w:tcW w:w="5395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Comprehensive behavioral health </w:t>
            </w:r>
            <w:r w:rsidRPr="00861DA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ssessment (include suicide assessment), referral, treatment, psychotherapy, or follow-up</w:t>
            </w:r>
          </w:p>
        </w:tc>
      </w:tr>
      <w:tr w:rsidR="0083782E" w:rsidTr="00322F9A">
        <w:tc>
          <w:tcPr>
            <w:tcW w:w="2155" w:type="dxa"/>
          </w:tcPr>
          <w:p w:rsidR="0083782E" w:rsidRDefault="0083782E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12-15</w:t>
            </w:r>
          </w:p>
        </w:tc>
        <w:tc>
          <w:tcPr>
            <w:tcW w:w="2520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Severe Depression</w:t>
            </w:r>
          </w:p>
        </w:tc>
        <w:tc>
          <w:tcPr>
            <w:tcW w:w="5395" w:type="dxa"/>
          </w:tcPr>
          <w:p w:rsidR="0083782E" w:rsidRDefault="00861DAF" w:rsidP="00067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Comprehensive behavioral health</w:t>
            </w:r>
            <w:r w:rsidRPr="00861DAF">
              <w:rPr>
                <w:rFonts w:ascii="Calibri" w:hAnsi="Calibri"/>
              </w:rPr>
              <w:t xml:space="preserve"> assessment (include suicide assessment), referral, treatment, psychotherapy, or follow-up</w:t>
            </w:r>
            <w:r>
              <w:rPr>
                <w:rFonts w:ascii="Calibri" w:hAnsi="Calibri"/>
              </w:rPr>
              <w:t>—Consider intensive inpatient and/or intensive outpatient treatment and monitoring</w:t>
            </w:r>
          </w:p>
        </w:tc>
      </w:tr>
    </w:tbl>
    <w:p w:rsidR="0083782E" w:rsidRPr="00322F9A" w:rsidRDefault="0083782E" w:rsidP="000678E4">
      <w:pPr>
        <w:spacing w:after="0" w:line="240" w:lineRule="auto"/>
        <w:rPr>
          <w:rFonts w:ascii="Calibri" w:hAnsi="Calibri"/>
          <w:sz w:val="20"/>
          <w:szCs w:val="20"/>
        </w:rPr>
      </w:pPr>
    </w:p>
    <w:p w:rsidR="00340425" w:rsidRPr="00322F9A" w:rsidRDefault="00643732" w:rsidP="009E148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322F9A">
        <w:rPr>
          <w:rFonts w:ascii="Calibri" w:hAnsi="Calibri"/>
          <w:i/>
          <w:sz w:val="20"/>
          <w:szCs w:val="20"/>
        </w:rPr>
        <w:t>The Stanford/VA/NIA Aging Clinical Resource Center (ACRC) website. Retrieved July 11</w:t>
      </w:r>
      <w:proofErr w:type="gramStart"/>
      <w:r w:rsidRPr="00322F9A">
        <w:rPr>
          <w:rFonts w:ascii="Calibri" w:hAnsi="Calibri"/>
          <w:i/>
          <w:sz w:val="20"/>
          <w:szCs w:val="20"/>
        </w:rPr>
        <w:t>,2018</w:t>
      </w:r>
      <w:proofErr w:type="gramEnd"/>
      <w:r w:rsidRPr="00322F9A">
        <w:rPr>
          <w:rFonts w:ascii="Calibri" w:hAnsi="Calibri"/>
          <w:i/>
          <w:sz w:val="20"/>
          <w:szCs w:val="20"/>
        </w:rPr>
        <w:t xml:space="preserve">, from http://www.stanford.edu/~yesavage/ACRC.html. Information on the </w:t>
      </w:r>
      <w:r w:rsidR="009E148F" w:rsidRPr="00322F9A">
        <w:rPr>
          <w:rFonts w:ascii="Calibri" w:hAnsi="Calibri"/>
          <w:i/>
          <w:sz w:val="20"/>
          <w:szCs w:val="20"/>
        </w:rPr>
        <w:t>GDS.</w:t>
      </w:r>
    </w:p>
    <w:p w:rsidR="00340425" w:rsidRDefault="00340425" w:rsidP="00643732">
      <w:pPr>
        <w:pStyle w:val="Default"/>
      </w:pPr>
    </w:p>
    <w:p w:rsidR="00322F9A" w:rsidRDefault="00322F9A" w:rsidP="00643732">
      <w:pPr>
        <w:pStyle w:val="Default"/>
        <w:rPr>
          <w:rFonts w:asciiTheme="minorHAnsi" w:hAnsiTheme="minorHAnsi"/>
          <w:sz w:val="22"/>
          <w:szCs w:val="22"/>
        </w:rPr>
      </w:pPr>
      <w:r w:rsidRPr="00322F9A">
        <w:rPr>
          <w:rFonts w:asciiTheme="minorHAnsi" w:hAnsiTheme="minorHAnsi"/>
          <w:sz w:val="22"/>
          <w:szCs w:val="22"/>
        </w:rPr>
        <w:t>Additional Resources</w:t>
      </w:r>
      <w:r>
        <w:rPr>
          <w:rFonts w:asciiTheme="minorHAnsi" w:hAnsiTheme="minorHAnsi"/>
          <w:sz w:val="22"/>
          <w:szCs w:val="22"/>
        </w:rPr>
        <w:t>:</w:t>
      </w:r>
    </w:p>
    <w:p w:rsidR="00322F9A" w:rsidRDefault="005A2DAB" w:rsidP="00322F9A">
      <w:pPr>
        <w:pStyle w:val="Default"/>
        <w:rPr>
          <w:rStyle w:val="Hyperlink"/>
        </w:rPr>
      </w:pPr>
      <w:hyperlink r:id="rId5" w:history="1">
        <w:r w:rsidR="00322F9A" w:rsidRPr="00E82190">
          <w:rPr>
            <w:rStyle w:val="Hyperlink"/>
          </w:rPr>
          <w:t>https://www.cgakit.com/p-4-depression</w:t>
        </w:r>
      </w:hyperlink>
    </w:p>
    <w:p w:rsidR="00322F9A" w:rsidRPr="00322F9A" w:rsidRDefault="005A2DAB" w:rsidP="00322F9A">
      <w:pPr>
        <w:rPr>
          <w:color w:val="1F497D"/>
        </w:rPr>
      </w:pPr>
      <w:hyperlink r:id="rId6" w:history="1">
        <w:r w:rsidR="00322F9A">
          <w:rPr>
            <w:rStyle w:val="Hyperlink"/>
          </w:rPr>
          <w:t>https://store.samhsa.gov/shin/content/SMA11-4631CD-DVD/SMA11-4631CD-DVD-Selecting.pdf</w:t>
        </w:r>
      </w:hyperlink>
      <w:r w:rsidR="00322F9A">
        <w:rPr>
          <w:color w:val="1F497D"/>
        </w:rPr>
        <w:t xml:space="preserve"> </w:t>
      </w:r>
      <w:hyperlink r:id="rId7" w:history="1">
        <w:r w:rsidR="00322F9A">
          <w:rPr>
            <w:rStyle w:val="Hyperlink"/>
          </w:rPr>
          <w:t>https://store.samhsa.gov/shin/content/SMA11-4631CD-DVD/SMA11-4631CD-DVD-KeyIssues.pdf</w:t>
        </w:r>
      </w:hyperlink>
      <w:hyperlink r:id="rId8" w:history="1">
        <w:r w:rsidR="00322F9A">
          <w:rPr>
            <w:rStyle w:val="Hyperlink"/>
          </w:rPr>
          <w:t>https://scholarworks.umass.edu/cgi/viewcontent.cgi?article=1065&amp;context=nursing_dnp_capstone</w:t>
        </w:r>
      </w:hyperlink>
      <w:r w:rsidR="00322F9A">
        <w:t xml:space="preserve"> </w:t>
      </w:r>
    </w:p>
    <w:p w:rsidR="00322F9A" w:rsidRDefault="00322F9A" w:rsidP="00643732">
      <w:pPr>
        <w:pStyle w:val="Default"/>
        <w:rPr>
          <w:i/>
        </w:rPr>
      </w:pPr>
    </w:p>
    <w:p w:rsidR="00322F9A" w:rsidRPr="00643732" w:rsidRDefault="00322F9A" w:rsidP="00643732">
      <w:pPr>
        <w:pStyle w:val="Default"/>
        <w:rPr>
          <w:i/>
        </w:rPr>
      </w:pPr>
    </w:p>
    <w:p w:rsidR="00643732" w:rsidRDefault="00643732" w:rsidP="00643732">
      <w:pPr>
        <w:spacing w:after="0" w:line="240" w:lineRule="auto"/>
        <w:jc w:val="center"/>
        <w:rPr>
          <w:rStyle w:val="A1"/>
        </w:rPr>
      </w:pPr>
      <w:r>
        <w:rPr>
          <w:rStyle w:val="A1"/>
        </w:rPr>
        <w:lastRenderedPageBreak/>
        <w:t>The Geriatric Depression Scale (GDS)</w:t>
      </w:r>
    </w:p>
    <w:p w:rsidR="00643732" w:rsidRDefault="00643732" w:rsidP="00643732">
      <w:pPr>
        <w:spacing w:after="0" w:line="240" w:lineRule="auto"/>
        <w:jc w:val="center"/>
        <w:rPr>
          <w:rFonts w:ascii="Calibri" w:hAnsi="Calibri"/>
          <w:b/>
        </w:rPr>
      </w:pPr>
    </w:p>
    <w:p w:rsidR="006A335F" w:rsidRDefault="006A335F" w:rsidP="006A335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43732">
        <w:rPr>
          <w:rFonts w:ascii="Calibri" w:hAnsi="Calibri"/>
          <w:b/>
          <w:sz w:val="24"/>
          <w:szCs w:val="24"/>
        </w:rPr>
        <w:t xml:space="preserve">Choose the best answer for how you have felt over the past week: </w:t>
      </w:r>
    </w:p>
    <w:p w:rsidR="00643732" w:rsidRDefault="00643732" w:rsidP="006A335F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643732" w:rsidTr="00643732">
        <w:tc>
          <w:tcPr>
            <w:tcW w:w="6745" w:type="dxa"/>
          </w:tcPr>
          <w:p w:rsidR="00643732" w:rsidRPr="00643732" w:rsidRDefault="00643732" w:rsidP="006437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Are you basically satisfied with your life?</w:t>
            </w:r>
          </w:p>
          <w:p w:rsidR="00643732" w:rsidRPr="00643732" w:rsidRDefault="00643732" w:rsidP="00643732">
            <w:pPr>
              <w:pStyle w:val="ListParagrap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 / NO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2. Have you dropped many of your activities and interests?</w:t>
            </w:r>
          </w:p>
        </w:tc>
        <w:tc>
          <w:tcPr>
            <w:tcW w:w="2605" w:type="dxa"/>
          </w:tcPr>
          <w:p w:rsidR="00643732" w:rsidRPr="00643732" w:rsidRDefault="00643732" w:rsidP="00643732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3. Do you feel that your life is empty?</w:t>
            </w:r>
          </w:p>
        </w:tc>
        <w:tc>
          <w:tcPr>
            <w:tcW w:w="2605" w:type="dxa"/>
          </w:tcPr>
          <w:p w:rsidR="00643732" w:rsidRPr="00643732" w:rsidRDefault="00643732" w:rsidP="00643732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4. Do you often get bored?</w:t>
            </w:r>
          </w:p>
        </w:tc>
        <w:tc>
          <w:tcPr>
            <w:tcW w:w="2605" w:type="dxa"/>
          </w:tcPr>
          <w:p w:rsidR="00643732" w:rsidRPr="00643732" w:rsidRDefault="00643732" w:rsidP="00643732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5. Are you in good spirits most of the time?</w:t>
            </w:r>
          </w:p>
        </w:tc>
        <w:tc>
          <w:tcPr>
            <w:tcW w:w="2605" w:type="dxa"/>
          </w:tcPr>
          <w:p w:rsidR="00643732" w:rsidRDefault="00643732" w:rsidP="00643732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 xml:space="preserve">YES / </w:t>
            </w: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NO 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6. Are you afraid that something bad is going to happen to you?</w:t>
            </w:r>
          </w:p>
        </w:tc>
        <w:tc>
          <w:tcPr>
            <w:tcW w:w="2605" w:type="dxa"/>
          </w:tcPr>
          <w:p w:rsidR="00643732" w:rsidRPr="00643732" w:rsidRDefault="00643732" w:rsidP="00643732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7. Do you feel happy most of the time?</w:t>
            </w: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 xml:space="preserve">YES / </w:t>
            </w: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8. Do you often feel helpless?</w:t>
            </w: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YES 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9. Do you prefer to stay at home, rather than going out and doing new things?</w:t>
            </w:r>
          </w:p>
        </w:tc>
        <w:tc>
          <w:tcPr>
            <w:tcW w:w="2605" w:type="dxa"/>
          </w:tcPr>
          <w:p w:rsidR="00B5101C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10. Do you feel you have more problems with memory than most?</w:t>
            </w:r>
          </w:p>
          <w:p w:rsidR="00B5101C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YES 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11. Do you think it is wonderful to be alive now?</w:t>
            </w:r>
          </w:p>
          <w:p w:rsidR="00B5101C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 xml:space="preserve">YES / </w:t>
            </w:r>
            <w:r w:rsidRPr="00643732">
              <w:rPr>
                <w:rFonts w:ascii="Calibri" w:hAnsi="Calibri"/>
                <w:b/>
                <w:sz w:val="24"/>
                <w:szCs w:val="24"/>
              </w:rPr>
              <w:t>NO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12. Do you feel pretty worthless the way you are now?</w:t>
            </w: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13. Do you feel full of energy?</w:t>
            </w:r>
          </w:p>
          <w:p w:rsidR="00B5101C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43732" w:rsidRPr="00B5101C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 xml:space="preserve">YES / </w:t>
            </w: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NO </w:t>
            </w:r>
          </w:p>
        </w:tc>
      </w:tr>
      <w:tr w:rsidR="00B5101C" w:rsidTr="00643732">
        <w:tc>
          <w:tcPr>
            <w:tcW w:w="6745" w:type="dxa"/>
          </w:tcPr>
          <w:p w:rsidR="00B5101C" w:rsidRPr="00643732" w:rsidRDefault="00B5101C" w:rsidP="006A335F">
            <w:p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14. Do you feel that your situation is hopeless?</w:t>
            </w:r>
          </w:p>
        </w:tc>
        <w:tc>
          <w:tcPr>
            <w:tcW w:w="2605" w:type="dxa"/>
          </w:tcPr>
          <w:p w:rsidR="00B5101C" w:rsidRPr="00643732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>YES</w:t>
            </w:r>
            <w:r w:rsidRPr="00643732">
              <w:rPr>
                <w:rFonts w:ascii="Calibri" w:hAnsi="Calibri"/>
                <w:sz w:val="24"/>
                <w:szCs w:val="24"/>
              </w:rPr>
              <w:t xml:space="preserve"> / NO </w:t>
            </w:r>
          </w:p>
        </w:tc>
      </w:tr>
      <w:tr w:rsidR="00643732" w:rsidTr="00643732">
        <w:tc>
          <w:tcPr>
            <w:tcW w:w="6745" w:type="dxa"/>
          </w:tcPr>
          <w:p w:rsidR="00643732" w:rsidRDefault="00B5101C" w:rsidP="006A335F">
            <w:pPr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sz w:val="24"/>
                <w:szCs w:val="24"/>
              </w:rPr>
              <w:t>15. Do you think that most people are better off than you are?</w:t>
            </w:r>
          </w:p>
          <w:p w:rsidR="00B5101C" w:rsidRDefault="00B5101C" w:rsidP="006A335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B5101C" w:rsidRPr="00643732" w:rsidRDefault="00B5101C" w:rsidP="00B5101C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3732">
              <w:rPr>
                <w:rFonts w:ascii="Calibri" w:hAnsi="Calibri"/>
                <w:b/>
                <w:sz w:val="24"/>
                <w:szCs w:val="24"/>
              </w:rPr>
              <w:t xml:space="preserve">YES </w:t>
            </w:r>
            <w:r w:rsidRPr="00643732">
              <w:rPr>
                <w:rFonts w:ascii="Calibri" w:hAnsi="Calibri"/>
                <w:sz w:val="24"/>
                <w:szCs w:val="24"/>
              </w:rPr>
              <w:t>/ NO</w:t>
            </w:r>
          </w:p>
          <w:p w:rsidR="00643732" w:rsidRDefault="00643732" w:rsidP="006A335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43732" w:rsidRDefault="00643732" w:rsidP="006A335F">
      <w:pPr>
        <w:spacing w:after="0" w:line="480" w:lineRule="auto"/>
      </w:pPr>
    </w:p>
    <w:p w:rsidR="00643732" w:rsidRDefault="00643732" w:rsidP="00643732">
      <w:pPr>
        <w:spacing w:after="0" w:line="480" w:lineRule="auto"/>
      </w:pPr>
      <w:r>
        <w:t xml:space="preserve">Source: </w:t>
      </w:r>
      <w:hyperlink r:id="rId9" w:history="1">
        <w:r w:rsidR="00460D14" w:rsidRPr="001A4F36">
          <w:rPr>
            <w:rStyle w:val="Hyperlink"/>
          </w:rPr>
          <w:t>http://www.stanford.edu/~yesavage/GDS.html</w:t>
        </w:r>
      </w:hyperlink>
      <w:r w:rsidR="00460D14">
        <w:t xml:space="preserve"> </w:t>
      </w:r>
      <w:proofErr w:type="gramStart"/>
      <w:r>
        <w:t>This</w:t>
      </w:r>
      <w:proofErr w:type="gramEnd"/>
      <w:r>
        <w:t xml:space="preserve"> scale is in the public domain.</w:t>
      </w:r>
    </w:p>
    <w:sectPr w:rsidR="00643732" w:rsidSect="00460D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-Heavy-DTC">
    <w:altName w:val="Clearface-Heavy-D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F99"/>
    <w:multiLevelType w:val="hybridMultilevel"/>
    <w:tmpl w:val="19A0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ECC"/>
    <w:multiLevelType w:val="hybridMultilevel"/>
    <w:tmpl w:val="B01E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904"/>
    <w:multiLevelType w:val="hybridMultilevel"/>
    <w:tmpl w:val="525E3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ED"/>
    <w:rsid w:val="000678E4"/>
    <w:rsid w:val="000E466C"/>
    <w:rsid w:val="002E420D"/>
    <w:rsid w:val="00322F9A"/>
    <w:rsid w:val="00340425"/>
    <w:rsid w:val="00460D14"/>
    <w:rsid w:val="0047117D"/>
    <w:rsid w:val="00572A57"/>
    <w:rsid w:val="005A2DAB"/>
    <w:rsid w:val="00643732"/>
    <w:rsid w:val="006A335F"/>
    <w:rsid w:val="007C0587"/>
    <w:rsid w:val="0083782E"/>
    <w:rsid w:val="00861DAF"/>
    <w:rsid w:val="00995CDE"/>
    <w:rsid w:val="009B047D"/>
    <w:rsid w:val="009E148F"/>
    <w:rsid w:val="00A356ED"/>
    <w:rsid w:val="00B5101C"/>
    <w:rsid w:val="00B90573"/>
    <w:rsid w:val="00D42598"/>
    <w:rsid w:val="00D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74584-9E04-4ABC-865E-947EEEB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ED"/>
    <w:pPr>
      <w:ind w:left="720"/>
      <w:contextualSpacing/>
    </w:pPr>
  </w:style>
  <w:style w:type="paragraph" w:customStyle="1" w:styleId="Default">
    <w:name w:val="Default"/>
    <w:rsid w:val="00643732"/>
    <w:pPr>
      <w:autoSpaceDE w:val="0"/>
      <w:autoSpaceDN w:val="0"/>
      <w:adjustRightInd w:val="0"/>
      <w:spacing w:after="0" w:line="240" w:lineRule="auto"/>
    </w:pPr>
    <w:rPr>
      <w:rFonts w:ascii="Clearface-Heavy-DTC" w:hAnsi="Clearface-Heavy-DTC" w:cs="Clearface-Heavy-DTC"/>
      <w:color w:val="000000"/>
      <w:sz w:val="24"/>
      <w:szCs w:val="24"/>
    </w:rPr>
  </w:style>
  <w:style w:type="character" w:customStyle="1" w:styleId="A1">
    <w:name w:val="A1"/>
    <w:uiPriority w:val="99"/>
    <w:rsid w:val="00643732"/>
    <w:rPr>
      <w:rFonts w:cs="Clearface-Heavy-DTC"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64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D14"/>
    <w:rPr>
      <w:color w:val="0563C1" w:themeColor="hyperlink"/>
      <w:u w:val="single"/>
    </w:rPr>
  </w:style>
  <w:style w:type="paragraph" w:customStyle="1" w:styleId="font8">
    <w:name w:val="font_8"/>
    <w:basedOn w:val="Normal"/>
    <w:rsid w:val="0032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umass.edu/cgi/viewcontent.cgi?article=1065&amp;context=nursing_dnp_capst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samhsa.gov/shin/content/SMA11-4631CD-DVD/SMA11-4631CD-DVD-KeyIssu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samhsa.gov/shin/content/SMA11-4631CD-DVD/SMA11-4631CD-DVD-Selecti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gakit.com/p-4-depress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ford.edu/~yesavage/G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Bradley</dc:creator>
  <cp:keywords/>
  <dc:description/>
  <cp:lastModifiedBy>Wendy Bradley</cp:lastModifiedBy>
  <cp:revision>2</cp:revision>
  <dcterms:created xsi:type="dcterms:W3CDTF">2019-04-04T14:18:00Z</dcterms:created>
  <dcterms:modified xsi:type="dcterms:W3CDTF">2019-04-04T14:18:00Z</dcterms:modified>
</cp:coreProperties>
</file>