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26A61" w14:textId="6695E928" w:rsidR="00E33FAA" w:rsidRDefault="004F03AC" w:rsidP="004F03AC">
      <w:pPr>
        <w:pStyle w:val="Heading2"/>
      </w:pPr>
      <w:r>
        <w:t>Six Building Blocks Practice Facilitator Training Program</w:t>
      </w:r>
    </w:p>
    <w:p w14:paraId="201E864A" w14:textId="6C251F4B" w:rsidR="00302C4A" w:rsidRDefault="00302C4A" w:rsidP="00302C4A">
      <w:pPr>
        <w:pStyle w:val="BodyText"/>
      </w:pPr>
    </w:p>
    <w:p w14:paraId="16E4956E" w14:textId="76EDE8A9" w:rsidR="00B86264" w:rsidRPr="00B67E33" w:rsidRDefault="00302C4A" w:rsidP="00A34629">
      <w:pPr>
        <w:pStyle w:val="BodyText"/>
        <w:spacing w:after="360"/>
      </w:pPr>
      <w:r w:rsidRPr="00B67E33">
        <w:t xml:space="preserve">The University of Washington and Kaiser Permanente Washington </w:t>
      </w:r>
      <w:r w:rsidR="00B86264" w:rsidRPr="00B67E33">
        <w:t xml:space="preserve">Health </w:t>
      </w:r>
      <w:r w:rsidRPr="00B67E33">
        <w:t>Research Institute are offering a free</w:t>
      </w:r>
      <w:r w:rsidR="00FD6836">
        <w:t>, WA Department of Health-funded</w:t>
      </w:r>
      <w:r w:rsidRPr="00B67E33">
        <w:t xml:space="preserve"> training</w:t>
      </w:r>
      <w:r w:rsidR="00B86264" w:rsidRPr="00B67E33">
        <w:t xml:space="preserve"> program</w:t>
      </w:r>
      <w:r w:rsidRPr="00B67E33">
        <w:t xml:space="preserve"> for </w:t>
      </w:r>
      <w:r w:rsidRPr="00C766FC">
        <w:rPr>
          <w:i/>
        </w:rPr>
        <w:t>quality improvement personnel</w:t>
      </w:r>
      <w:r w:rsidRPr="00B67E33">
        <w:t xml:space="preserve"> interested in learning how to guide clinics in implementing opioid management improvements through the</w:t>
      </w:r>
      <w:r w:rsidR="00B86264" w:rsidRPr="00B67E33">
        <w:t xml:space="preserve"> evidence-based</w:t>
      </w:r>
      <w:r w:rsidRPr="00B67E33">
        <w:t xml:space="preserve"> Six Building Blocks Program (</w:t>
      </w:r>
      <w:hyperlink r:id="rId8" w:history="1">
        <w:r w:rsidRPr="00B67E33">
          <w:rPr>
            <w:rStyle w:val="Hyperlink"/>
          </w:rPr>
          <w:t>www.improvingopioidcare.org</w:t>
        </w:r>
      </w:hyperlink>
      <w:r w:rsidRPr="10B411CF">
        <w:t xml:space="preserve">). </w:t>
      </w:r>
      <w:r w:rsidR="00225CA1" w:rsidRPr="00B67E33">
        <w:t>Q</w:t>
      </w:r>
      <w:r w:rsidR="00B86264" w:rsidRPr="00B67E33">
        <w:t>uality improvement personnel will learn how to coach</w:t>
      </w:r>
      <w:r w:rsidRPr="00B67E33">
        <w:t xml:space="preserve"> clinics</w:t>
      </w:r>
      <w:r w:rsidR="00B86264" w:rsidRPr="00B67E33">
        <w:t xml:space="preserve"> in</w:t>
      </w:r>
      <w:r w:rsidRPr="00B67E33">
        <w:t xml:space="preserve"> six key work areas, or "Building Blocks": </w:t>
      </w:r>
    </w:p>
    <w:p w14:paraId="33D905FC" w14:textId="77777777" w:rsidR="00B86264" w:rsidRPr="00B67E33" w:rsidRDefault="00B86264" w:rsidP="00B86264">
      <w:pPr>
        <w:pStyle w:val="Number"/>
        <w:rPr>
          <w:rFonts w:asciiTheme="minorHAnsi" w:hAnsiTheme="minorHAnsi"/>
          <w:sz w:val="22"/>
          <w:szCs w:val="22"/>
        </w:rPr>
      </w:pPr>
      <w:r w:rsidRPr="00B67E33">
        <w:rPr>
          <w:rFonts w:asciiTheme="minorHAnsi" w:hAnsiTheme="minorHAnsi"/>
          <w:sz w:val="22"/>
          <w:szCs w:val="22"/>
        </w:rPr>
        <w:t>Engaging leadership and securing consensus</w:t>
      </w:r>
    </w:p>
    <w:p w14:paraId="27C751EA" w14:textId="537FBA07" w:rsidR="00B86264" w:rsidRPr="00B67E33" w:rsidRDefault="00B86264" w:rsidP="00B86264">
      <w:pPr>
        <w:pStyle w:val="Number"/>
        <w:rPr>
          <w:rFonts w:asciiTheme="minorHAnsi" w:hAnsiTheme="minorHAnsi"/>
          <w:sz w:val="22"/>
          <w:szCs w:val="22"/>
        </w:rPr>
      </w:pPr>
      <w:r w:rsidRPr="00B67E33">
        <w:rPr>
          <w:rFonts w:asciiTheme="minorHAnsi" w:hAnsiTheme="minorHAnsi"/>
          <w:sz w:val="22"/>
          <w:szCs w:val="22"/>
        </w:rPr>
        <w:t>Revising policies and standard work</w:t>
      </w:r>
    </w:p>
    <w:p w14:paraId="249E4EC8" w14:textId="77777777" w:rsidR="00B86264" w:rsidRPr="00B67E33" w:rsidRDefault="00B86264" w:rsidP="00B86264">
      <w:pPr>
        <w:pStyle w:val="Number"/>
        <w:rPr>
          <w:rFonts w:asciiTheme="minorHAnsi" w:hAnsiTheme="minorHAnsi"/>
          <w:sz w:val="22"/>
          <w:szCs w:val="22"/>
        </w:rPr>
      </w:pPr>
      <w:r w:rsidRPr="00B67E33">
        <w:rPr>
          <w:rFonts w:asciiTheme="minorHAnsi" w:hAnsiTheme="minorHAnsi"/>
          <w:sz w:val="22"/>
          <w:szCs w:val="22"/>
        </w:rPr>
        <w:t>Tracking patients on chronic opioid therapy</w:t>
      </w:r>
    </w:p>
    <w:p w14:paraId="68412126" w14:textId="77777777" w:rsidR="00B86264" w:rsidRPr="00B67E33" w:rsidRDefault="00B86264" w:rsidP="00B86264">
      <w:pPr>
        <w:pStyle w:val="Number"/>
        <w:rPr>
          <w:rFonts w:asciiTheme="minorHAnsi" w:hAnsiTheme="minorHAnsi"/>
          <w:sz w:val="22"/>
          <w:szCs w:val="22"/>
        </w:rPr>
      </w:pPr>
      <w:r w:rsidRPr="00B67E33">
        <w:rPr>
          <w:rFonts w:asciiTheme="minorHAnsi" w:hAnsiTheme="minorHAnsi"/>
          <w:sz w:val="22"/>
          <w:szCs w:val="22"/>
        </w:rPr>
        <w:t>Planning for visits and providing patient-centered care</w:t>
      </w:r>
    </w:p>
    <w:p w14:paraId="25A1AE7C" w14:textId="4D24FE5F" w:rsidR="00B86264" w:rsidRPr="00B67E33" w:rsidRDefault="00B86264" w:rsidP="00B86264">
      <w:pPr>
        <w:pStyle w:val="Number"/>
        <w:rPr>
          <w:rFonts w:asciiTheme="minorHAnsi" w:hAnsiTheme="minorHAnsi"/>
          <w:sz w:val="22"/>
          <w:szCs w:val="22"/>
        </w:rPr>
      </w:pPr>
      <w:r w:rsidRPr="00B67E33">
        <w:rPr>
          <w:rFonts w:asciiTheme="minorHAnsi" w:hAnsiTheme="minorHAnsi"/>
          <w:sz w:val="22"/>
          <w:szCs w:val="22"/>
        </w:rPr>
        <w:t xml:space="preserve">Developing resources to care for complex patients (e.g., </w:t>
      </w:r>
      <w:r w:rsidR="00FD6836">
        <w:rPr>
          <w:rFonts w:asciiTheme="minorHAnsi" w:hAnsiTheme="minorHAnsi"/>
          <w:sz w:val="22"/>
          <w:szCs w:val="22"/>
        </w:rPr>
        <w:t>opioid use disorder</w:t>
      </w:r>
      <w:r w:rsidRPr="00B67E33">
        <w:rPr>
          <w:rFonts w:asciiTheme="minorHAnsi" w:hAnsiTheme="minorHAnsi"/>
          <w:sz w:val="22"/>
          <w:szCs w:val="22"/>
        </w:rPr>
        <w:t>)</w:t>
      </w:r>
    </w:p>
    <w:p w14:paraId="46AF924E" w14:textId="77777777" w:rsidR="00B86264" w:rsidRPr="00B67E33" w:rsidRDefault="00B86264" w:rsidP="00B86264">
      <w:pPr>
        <w:pStyle w:val="Number"/>
        <w:rPr>
          <w:rFonts w:asciiTheme="minorHAnsi" w:hAnsiTheme="minorHAnsi"/>
          <w:sz w:val="22"/>
          <w:szCs w:val="22"/>
        </w:rPr>
      </w:pPr>
      <w:r w:rsidRPr="00B67E33">
        <w:rPr>
          <w:rFonts w:asciiTheme="minorHAnsi" w:hAnsiTheme="minorHAnsi"/>
          <w:sz w:val="22"/>
          <w:szCs w:val="22"/>
        </w:rPr>
        <w:t>Measuring success</w:t>
      </w:r>
    </w:p>
    <w:p w14:paraId="672E7788" w14:textId="200380A0" w:rsidR="00302C4A" w:rsidRPr="00B67E33" w:rsidRDefault="00B67E33" w:rsidP="00A34629">
      <w:pPr>
        <w:pStyle w:val="BodyText"/>
        <w:spacing w:before="360"/>
      </w:pPr>
      <w:r>
        <w:lastRenderedPageBreak/>
        <w:t>The training includes a</w:t>
      </w:r>
      <w:r w:rsidR="51BED351">
        <w:t>n introductory webinar on March 26</w:t>
      </w:r>
      <w:r w:rsidR="51BED351" w:rsidRPr="24A45A77">
        <w:rPr>
          <w:vertAlign w:val="superscript"/>
        </w:rPr>
        <w:t>th</w:t>
      </w:r>
      <w:r w:rsidR="51BED351">
        <w:t xml:space="preserve"> from 12-1:30, a </w:t>
      </w:r>
      <w:r>
        <w:t>1.5 day in-person training</w:t>
      </w:r>
      <w:r w:rsidR="391412AC" w:rsidRPr="2EF163DF">
        <w:t xml:space="preserve"> </w:t>
      </w:r>
      <w:r w:rsidR="283A600C">
        <w:t xml:space="preserve">in </w:t>
      </w:r>
      <w:r w:rsidR="391412AC">
        <w:t>Seattle on May 11-12</w:t>
      </w:r>
      <w:r w:rsidRPr="2EF163DF">
        <w:t xml:space="preserve">, </w:t>
      </w:r>
      <w:r w:rsidR="007D6EA0">
        <w:t>skill-building</w:t>
      </w:r>
      <w:r>
        <w:t xml:space="preserve"> webinars, shared learning opportunities, and access to coaching workbooks and resources. </w:t>
      </w:r>
      <w:r w:rsidR="00225CA1" w:rsidRPr="00B67E33">
        <w:t xml:space="preserve">Trainees will apply their learnings by coaching 1-2 </w:t>
      </w:r>
      <w:r w:rsidR="00FD6836">
        <w:t xml:space="preserve">clinics affiliated with their organization </w:t>
      </w:r>
      <w:r w:rsidR="00225CA1" w:rsidRPr="00B67E33">
        <w:t xml:space="preserve">during the training program. </w:t>
      </w:r>
      <w:r w:rsidR="00302C4A" w:rsidRPr="00B67E33">
        <w:t xml:space="preserve">Eligible organizations and their affiliated clinics may not have made any improvements or may already have made several improvements to management of patients </w:t>
      </w:r>
      <w:proofErr w:type="gramStart"/>
      <w:r w:rsidR="00302C4A" w:rsidRPr="00B67E33">
        <w:t>with</w:t>
      </w:r>
      <w:proofErr w:type="gramEnd"/>
      <w:r w:rsidR="00302C4A" w:rsidRPr="00B67E33">
        <w:t xml:space="preserve"> chronic pain.</w:t>
      </w:r>
      <w:r w:rsidR="00B86264" w:rsidRPr="2EF163DF">
        <w:t xml:space="preserve"> </w:t>
      </w:r>
      <w:r w:rsidR="00FD6836">
        <w:t xml:space="preserve">Travel costs to the training are covered by the Department of Health funding. </w:t>
      </w:r>
      <w:r w:rsidR="131DDF80">
        <w:t>This training is tailored to participants, and the Six Building Blocks team is committed to 6-12 months of coaching based on participants' needs</w:t>
      </w:r>
      <w:r w:rsidR="00A34629">
        <w:t>.</w:t>
      </w:r>
      <w:r w:rsidR="00FD6836" w:rsidRPr="2EF163DF">
        <w:t xml:space="preserve"> </w:t>
      </w:r>
      <w:r w:rsidR="00B86264" w:rsidRPr="00B67E33">
        <w:t xml:space="preserve">If you’d like to learn more, </w:t>
      </w:r>
      <w:r>
        <w:t xml:space="preserve">please </w:t>
      </w:r>
      <w:r w:rsidR="00B86264" w:rsidRPr="00B67E33">
        <w:t xml:space="preserve">contact </w:t>
      </w:r>
      <w:bookmarkStart w:id="0" w:name="_GoBack"/>
      <w:r w:rsidR="00B86264" w:rsidRPr="00B67E33">
        <w:t xml:space="preserve">Brooke Ike, Practice Facilitator and Trainer, at </w:t>
      </w:r>
      <w:hyperlink r:id="rId9" w:history="1">
        <w:r w:rsidR="00B86264" w:rsidRPr="00B67E33">
          <w:rPr>
            <w:rStyle w:val="Hyperlink"/>
          </w:rPr>
          <w:t>bike2@uw.edu</w:t>
        </w:r>
      </w:hyperlink>
      <w:r w:rsidR="00B86264" w:rsidRPr="2EF163DF">
        <w:t xml:space="preserve">. </w:t>
      </w:r>
      <w:bookmarkEnd w:id="0"/>
    </w:p>
    <w:sectPr w:rsidR="00302C4A" w:rsidRPr="00B67E33" w:rsidSect="00C7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7D7A"/>
    <w:multiLevelType w:val="hybridMultilevel"/>
    <w:tmpl w:val="126872FE"/>
    <w:lvl w:ilvl="0" w:tplc="E2E4C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A8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C2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26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2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3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85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28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C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887"/>
    <w:multiLevelType w:val="hybridMultilevel"/>
    <w:tmpl w:val="D3BC8A92"/>
    <w:lvl w:ilvl="0" w:tplc="697EA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2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4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01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A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E0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CC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E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C"/>
    <w:rsid w:val="00225CA1"/>
    <w:rsid w:val="00302C4A"/>
    <w:rsid w:val="004F03AC"/>
    <w:rsid w:val="007C34D6"/>
    <w:rsid w:val="007D2559"/>
    <w:rsid w:val="007D6EA0"/>
    <w:rsid w:val="00A34629"/>
    <w:rsid w:val="00B67E33"/>
    <w:rsid w:val="00B86264"/>
    <w:rsid w:val="00C766FC"/>
    <w:rsid w:val="00D63A5A"/>
    <w:rsid w:val="00E33FAA"/>
    <w:rsid w:val="00ED1DAA"/>
    <w:rsid w:val="00FD6836"/>
    <w:rsid w:val="05815A7E"/>
    <w:rsid w:val="09FF87E3"/>
    <w:rsid w:val="0A1DCB33"/>
    <w:rsid w:val="10B411CF"/>
    <w:rsid w:val="131DDF80"/>
    <w:rsid w:val="150F9B8D"/>
    <w:rsid w:val="1FB8C1B6"/>
    <w:rsid w:val="24A45A77"/>
    <w:rsid w:val="283A600C"/>
    <w:rsid w:val="2EF163DF"/>
    <w:rsid w:val="391412AC"/>
    <w:rsid w:val="3C803B87"/>
    <w:rsid w:val="51BED351"/>
    <w:rsid w:val="5B91B171"/>
    <w:rsid w:val="6927B2B0"/>
    <w:rsid w:val="740E60FC"/>
    <w:rsid w:val="7DA9E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E7A"/>
  <w15:chartTrackingRefBased/>
  <w15:docId w15:val="{6DC242D8-8190-44E5-9E3D-81D61AD3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7D2559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7D255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59"/>
    <w:rPr>
      <w:rFonts w:ascii="Corbel" w:eastAsiaTheme="majorEastAsia" w:hAnsi="Corbel" w:cstheme="majorBidi"/>
      <w:sz w:val="5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559"/>
  </w:style>
  <w:style w:type="character" w:customStyle="1" w:styleId="Heading2Char">
    <w:name w:val="Heading 2 Char"/>
    <w:basedOn w:val="DefaultParagraphFont"/>
    <w:link w:val="Heading2"/>
    <w:uiPriority w:val="9"/>
    <w:rsid w:val="007D255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customStyle="1" w:styleId="Quote">
    <w:name w:val="&quot;Quote&quot;"/>
    <w:qFormat/>
    <w:rsid w:val="007D2559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rsid w:val="00302C4A"/>
    <w:rPr>
      <w:color w:val="0563C1" w:themeColor="hyperlink"/>
      <w:u w:val="single"/>
    </w:rPr>
  </w:style>
  <w:style w:type="paragraph" w:customStyle="1" w:styleId="Number">
    <w:name w:val="Number"/>
    <w:basedOn w:val="BodyText"/>
    <w:qFormat/>
    <w:rsid w:val="00B86264"/>
    <w:pPr>
      <w:numPr>
        <w:numId w:val="2"/>
      </w:numPr>
      <w:spacing w:after="60" w:line="260" w:lineRule="atLeast"/>
      <w:ind w:left="288" w:hanging="288"/>
    </w:pPr>
    <w:rPr>
      <w:rFonts w:ascii="Corbel" w:eastAsia="Calibri" w:hAnsi="Corbel" w:cs="Calibri"/>
      <w:sz w:val="20"/>
      <w:szCs w:val="20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3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ingopioidcar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ke2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1858C-0FB3-4949-BF5A-EC40F7D8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87050-3E8C-4BAB-8340-44434C57F4E3}">
  <ds:schemaRefs>
    <ds:schemaRef ds:uri="http://schemas.microsoft.com/office/infopath/2007/PartnerControls"/>
    <ds:schemaRef ds:uri="http://purl.org/dc/terms/"/>
    <ds:schemaRef ds:uri="c7af916d-3895-4f1b-8cc1-5c49fb04cd4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f6d5438-84ac-4485-aa17-771d909f87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B18404-71F3-44C9-BF6A-F9E87BFFE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Wendy Brzezny</cp:lastModifiedBy>
  <cp:revision>2</cp:revision>
  <dcterms:created xsi:type="dcterms:W3CDTF">2020-01-29T23:36:00Z</dcterms:created>
  <dcterms:modified xsi:type="dcterms:W3CDTF">2020-01-29T23:36:00Z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